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0" w:line="360" w:lineRule="auto"/>
        <w:ind w:firstLine="562"/>
        <w:jc w:val="center"/>
        <w:rPr>
          <w:rFonts w:hint="eastAsia" w:ascii="宋体" w:hAnsi="宋体" w:eastAsia="宋体"/>
          <w:b/>
          <w:sz w:val="28"/>
          <w:szCs w:val="28"/>
          <w:lang w:eastAsia="zh-CN"/>
        </w:rPr>
      </w:pPr>
      <w:r>
        <w:rPr>
          <w:rFonts w:ascii="宋体" w:hAnsi="宋体" w:eastAsia="宋体"/>
          <w:b/>
          <w:sz w:val="28"/>
          <w:szCs w:val="28"/>
        </w:rPr>
        <w:t>海口市促进航运业稳定发展办法</w:t>
      </w:r>
      <w:r>
        <w:rPr>
          <w:rFonts w:hint="eastAsia" w:ascii="宋体" w:hAnsi="宋体" w:eastAsia="宋体"/>
          <w:b/>
          <w:sz w:val="28"/>
          <w:szCs w:val="28"/>
          <w:lang w:eastAsia="zh-CN"/>
        </w:rPr>
        <w:t>（</w:t>
      </w:r>
      <w:r>
        <w:rPr>
          <w:rFonts w:hint="eastAsia" w:ascii="宋体" w:hAnsi="宋体" w:eastAsia="宋体"/>
          <w:b/>
          <w:sz w:val="28"/>
          <w:szCs w:val="28"/>
          <w:lang w:val="en-US" w:eastAsia="zh-CN"/>
        </w:rPr>
        <w:t>修订</w:t>
      </w:r>
      <w:r>
        <w:rPr>
          <w:rFonts w:hint="eastAsia" w:ascii="宋体" w:hAnsi="宋体" w:eastAsia="宋体"/>
          <w:b/>
          <w:sz w:val="28"/>
          <w:szCs w:val="28"/>
          <w:lang w:eastAsia="zh-CN"/>
        </w:rPr>
        <w:t>）</w:t>
      </w:r>
    </w:p>
    <w:p>
      <w:pPr>
        <w:spacing w:beforeLines="0" w:line="360" w:lineRule="auto"/>
        <w:ind w:firstLine="562"/>
        <w:jc w:val="center"/>
        <w:rPr>
          <w:rFonts w:ascii="宋体" w:hAnsi="宋体" w:eastAsia="宋体"/>
          <w:b/>
          <w:sz w:val="28"/>
          <w:szCs w:val="28"/>
        </w:rPr>
      </w:pPr>
      <w:bookmarkStart w:id="0" w:name="_GoBack"/>
      <w:bookmarkEnd w:id="0"/>
    </w:p>
    <w:p>
      <w:pPr>
        <w:spacing w:beforeLines="0" w:line="360" w:lineRule="auto"/>
        <w:ind w:firstLine="560"/>
        <w:jc w:val="both"/>
        <w:rPr>
          <w:bCs/>
          <w:sz w:val="28"/>
          <w:szCs w:val="28"/>
        </w:rPr>
      </w:pPr>
      <w:r>
        <w:rPr>
          <w:rStyle w:val="44"/>
          <w:rFonts w:hint="default" w:ascii="等线" w:hAnsi="等线" w:eastAsia="等线"/>
          <w:sz w:val="28"/>
          <w:szCs w:val="28"/>
        </w:rPr>
        <w:t>第一条</w:t>
      </w:r>
      <w:r>
        <w:rPr>
          <w:rStyle w:val="44"/>
          <w:rFonts w:hint="default" w:ascii="等线" w:hAnsi="等线" w:eastAsia="等线"/>
          <w:b w:val="0"/>
          <w:sz w:val="28"/>
          <w:szCs w:val="28"/>
        </w:rPr>
        <w:t>　</w:t>
      </w:r>
      <w:r>
        <w:rPr>
          <w:rFonts w:hint="eastAsia" w:ascii="宋体" w:hAnsi="宋体" w:eastAsia="宋体"/>
          <w:sz w:val="28"/>
          <w:szCs w:val="28"/>
        </w:rPr>
        <w:t>根据</w:t>
      </w:r>
      <w:r>
        <w:rPr>
          <w:rFonts w:hint="eastAsia" w:ascii="宋体" w:hAnsi="宋体" w:eastAsia="宋体"/>
          <w:bCs/>
          <w:sz w:val="28"/>
          <w:szCs w:val="28"/>
        </w:rPr>
        <w:t>《中国（海南）自由贸易试验区总体方案》，为加快建设具有较强服务功能和辐射能力的国际航运枢纽，</w:t>
      </w:r>
      <w:r>
        <w:rPr>
          <w:rFonts w:ascii="宋体" w:hAnsi="宋体" w:eastAsia="宋体"/>
          <w:sz w:val="28"/>
          <w:szCs w:val="28"/>
        </w:rPr>
        <w:t>鼓励和吸引</w:t>
      </w:r>
      <w:r>
        <w:rPr>
          <w:rStyle w:val="44"/>
          <w:rFonts w:hint="default" w:ascii="宋体" w:hAnsi="宋体" w:eastAsia="宋体"/>
          <w:b w:val="0"/>
          <w:sz w:val="28"/>
          <w:szCs w:val="28"/>
        </w:rPr>
        <w:t>航运物流企业</w:t>
      </w:r>
      <w:r>
        <w:rPr>
          <w:rFonts w:ascii="宋体" w:hAnsi="宋体" w:eastAsia="宋体"/>
          <w:sz w:val="28"/>
          <w:szCs w:val="28"/>
        </w:rPr>
        <w:t>在海口注册、新增运力</w:t>
      </w:r>
      <w:r>
        <w:rPr>
          <w:rFonts w:hint="eastAsia" w:ascii="宋体" w:hAnsi="宋体" w:eastAsia="宋体"/>
          <w:sz w:val="28"/>
          <w:szCs w:val="28"/>
        </w:rPr>
        <w:t>、</w:t>
      </w:r>
      <w:r>
        <w:rPr>
          <w:rFonts w:ascii="宋体" w:hAnsi="宋体" w:eastAsia="宋体"/>
          <w:sz w:val="28"/>
          <w:szCs w:val="28"/>
        </w:rPr>
        <w:t>新辟航线和发展集装箱运输业务，促进</w:t>
      </w:r>
      <w:r>
        <w:rPr>
          <w:rFonts w:hint="eastAsia" w:ascii="宋体" w:hAnsi="宋体" w:eastAsia="宋体"/>
          <w:sz w:val="28"/>
          <w:szCs w:val="28"/>
        </w:rPr>
        <w:t>本</w:t>
      </w:r>
      <w:r>
        <w:rPr>
          <w:rFonts w:ascii="宋体" w:hAnsi="宋体" w:eastAsia="宋体"/>
          <w:sz w:val="28"/>
          <w:szCs w:val="28"/>
        </w:rPr>
        <w:t>市航运和集装箱业务发展，结合</w:t>
      </w:r>
      <w:r>
        <w:rPr>
          <w:rFonts w:hint="eastAsia" w:ascii="宋体" w:hAnsi="宋体" w:eastAsia="宋体"/>
          <w:sz w:val="28"/>
          <w:szCs w:val="28"/>
        </w:rPr>
        <w:t>本</w:t>
      </w:r>
      <w:r>
        <w:rPr>
          <w:rFonts w:ascii="宋体" w:hAnsi="宋体" w:eastAsia="宋体"/>
          <w:sz w:val="28"/>
          <w:szCs w:val="28"/>
        </w:rPr>
        <w:t>市实际,制定本办法。</w:t>
      </w:r>
    </w:p>
    <w:p>
      <w:pPr>
        <w:spacing w:beforeLines="0" w:line="360" w:lineRule="auto"/>
        <w:ind w:firstLine="560"/>
        <w:jc w:val="both"/>
        <w:rPr>
          <w:rStyle w:val="44"/>
          <w:rFonts w:hint="default" w:ascii="宋体" w:hAnsi="宋体" w:eastAsia="宋体"/>
          <w:b w:val="0"/>
          <w:sz w:val="28"/>
          <w:szCs w:val="28"/>
        </w:rPr>
      </w:pPr>
      <w:r>
        <w:rPr>
          <w:rStyle w:val="44"/>
          <w:rFonts w:hint="default" w:ascii="等线" w:hAnsi="等线" w:eastAsia="等线"/>
          <w:sz w:val="28"/>
          <w:szCs w:val="28"/>
        </w:rPr>
        <w:t>第二条</w:t>
      </w:r>
      <w:r>
        <w:rPr>
          <w:rStyle w:val="44"/>
          <w:rFonts w:hint="default" w:ascii="等线" w:hAnsi="等线" w:eastAsia="等线"/>
          <w:b w:val="0"/>
          <w:sz w:val="28"/>
          <w:szCs w:val="28"/>
        </w:rPr>
        <w:t>　</w:t>
      </w:r>
      <w:r>
        <w:rPr>
          <w:rStyle w:val="44"/>
          <w:rFonts w:hint="default" w:ascii="宋体" w:hAnsi="宋体" w:eastAsia="宋体"/>
          <w:b w:val="0"/>
          <w:sz w:val="28"/>
          <w:szCs w:val="28"/>
        </w:rPr>
        <w:t>对在本市行政区域内从事散杂货船运输、集装箱运输和相关航运物流企业的扶持，适用本办法。</w:t>
      </w:r>
    </w:p>
    <w:p>
      <w:pPr>
        <w:spacing w:beforeLines="0" w:line="360" w:lineRule="auto"/>
        <w:ind w:firstLine="560"/>
        <w:jc w:val="both"/>
        <w:rPr>
          <w:rStyle w:val="44"/>
          <w:rFonts w:hint="default" w:ascii="宋体" w:hAnsi="宋体" w:eastAsia="宋体"/>
          <w:b w:val="0"/>
          <w:sz w:val="28"/>
          <w:szCs w:val="28"/>
        </w:rPr>
      </w:pPr>
      <w:r>
        <w:rPr>
          <w:rStyle w:val="44"/>
          <w:rFonts w:hint="default" w:ascii="宋体" w:hAnsi="宋体" w:eastAsia="宋体"/>
          <w:b w:val="0"/>
          <w:sz w:val="28"/>
          <w:szCs w:val="28"/>
        </w:rPr>
        <w:t>本办法所称的相关</w:t>
      </w:r>
      <w:r>
        <w:rPr>
          <w:rFonts w:ascii="宋体" w:hAnsi="宋体" w:eastAsia="宋体"/>
          <w:sz w:val="28"/>
          <w:szCs w:val="28"/>
        </w:rPr>
        <w:t>航运物流企业</w:t>
      </w:r>
      <w:r>
        <w:rPr>
          <w:rFonts w:hint="eastAsia" w:ascii="宋体" w:hAnsi="宋体" w:eastAsia="宋体"/>
          <w:sz w:val="28"/>
          <w:szCs w:val="28"/>
        </w:rPr>
        <w:t>包括</w:t>
      </w:r>
      <w:r>
        <w:rPr>
          <w:rFonts w:ascii="宋体" w:hAnsi="宋体" w:eastAsia="宋体"/>
          <w:sz w:val="28"/>
          <w:szCs w:val="28"/>
        </w:rPr>
        <w:t>从事货物运输，船代货代，航运</w:t>
      </w:r>
      <w:r>
        <w:rPr>
          <w:rFonts w:hint="eastAsia" w:ascii="宋体" w:hAnsi="宋体" w:eastAsia="宋体"/>
          <w:sz w:val="28"/>
          <w:szCs w:val="28"/>
        </w:rPr>
        <w:t>综合</w:t>
      </w:r>
      <w:r>
        <w:rPr>
          <w:rFonts w:ascii="宋体" w:hAnsi="宋体" w:eastAsia="宋体"/>
          <w:sz w:val="28"/>
          <w:szCs w:val="28"/>
        </w:rPr>
        <w:t>服务等业务的企业。</w:t>
      </w:r>
    </w:p>
    <w:p>
      <w:pPr>
        <w:spacing w:beforeLines="0" w:line="360" w:lineRule="auto"/>
        <w:ind w:firstLine="562"/>
        <w:jc w:val="both"/>
        <w:rPr>
          <w:rFonts w:ascii="宋体" w:hAnsi="宋体" w:eastAsia="宋体"/>
          <w:sz w:val="28"/>
          <w:szCs w:val="28"/>
        </w:rPr>
      </w:pPr>
      <w:r>
        <w:rPr>
          <w:rStyle w:val="44"/>
          <w:rFonts w:hint="default" w:ascii="宋体" w:hAnsi="宋体" w:eastAsia="宋体"/>
          <w:sz w:val="28"/>
          <w:szCs w:val="28"/>
        </w:rPr>
        <w:t xml:space="preserve">第三条  </w:t>
      </w:r>
      <w:r>
        <w:rPr>
          <w:rFonts w:ascii="宋体" w:hAnsi="宋体" w:eastAsia="宋体"/>
          <w:sz w:val="28"/>
          <w:szCs w:val="28"/>
        </w:rPr>
        <w:t>申请扶持的企业，须符合以下条件（集装箱运输奖励补贴除外）：</w:t>
      </w:r>
    </w:p>
    <w:p>
      <w:pPr>
        <w:spacing w:beforeLines="0" w:line="360" w:lineRule="auto"/>
        <w:ind w:firstLine="560"/>
        <w:jc w:val="both"/>
        <w:rPr>
          <w:rFonts w:ascii="宋体" w:hAnsi="宋体" w:eastAsia="宋体"/>
          <w:sz w:val="28"/>
          <w:szCs w:val="28"/>
        </w:rPr>
      </w:pPr>
      <w:r>
        <w:rPr>
          <w:rFonts w:hint="eastAsia" w:ascii="宋体" w:hAnsi="宋体" w:eastAsia="宋体"/>
          <w:sz w:val="28"/>
          <w:szCs w:val="28"/>
        </w:rPr>
        <w:t>（一）</w:t>
      </w:r>
      <w:r>
        <w:rPr>
          <w:rFonts w:ascii="宋体" w:hAnsi="宋体" w:eastAsia="宋体"/>
          <w:sz w:val="28"/>
          <w:szCs w:val="28"/>
        </w:rPr>
        <w:t>工商注册地、税务征管关系及统计关系在海口市范围内</w:t>
      </w:r>
      <w:r>
        <w:rPr>
          <w:rFonts w:hint="eastAsia" w:ascii="宋体" w:hAnsi="宋体" w:eastAsia="宋体"/>
          <w:sz w:val="28"/>
          <w:szCs w:val="28"/>
        </w:rPr>
        <w:t>。</w:t>
      </w:r>
    </w:p>
    <w:p>
      <w:pPr>
        <w:spacing w:beforeLines="0" w:line="360" w:lineRule="auto"/>
        <w:ind w:firstLine="560"/>
        <w:jc w:val="both"/>
        <w:rPr>
          <w:rFonts w:ascii="宋体" w:hAnsi="宋体" w:eastAsia="宋体"/>
          <w:sz w:val="28"/>
          <w:szCs w:val="28"/>
        </w:rPr>
      </w:pPr>
      <w:r>
        <w:rPr>
          <w:rFonts w:hint="eastAsia" w:ascii="宋体" w:hAnsi="宋体" w:eastAsia="宋体"/>
          <w:sz w:val="28"/>
          <w:szCs w:val="28"/>
        </w:rPr>
        <w:t>（二）</w:t>
      </w:r>
      <w:r>
        <w:rPr>
          <w:rFonts w:ascii="宋体" w:hAnsi="宋体" w:eastAsia="宋体"/>
          <w:sz w:val="28"/>
          <w:szCs w:val="28"/>
        </w:rPr>
        <w:t>具有独立法人资格</w:t>
      </w:r>
      <w:r>
        <w:rPr>
          <w:rFonts w:hint="eastAsia" w:ascii="宋体" w:hAnsi="宋体" w:eastAsia="宋体"/>
          <w:sz w:val="28"/>
          <w:szCs w:val="28"/>
        </w:rPr>
        <w:t>。</w:t>
      </w:r>
    </w:p>
    <w:p>
      <w:pPr>
        <w:spacing w:beforeLines="0" w:line="360" w:lineRule="auto"/>
        <w:ind w:firstLine="560"/>
        <w:jc w:val="both"/>
        <w:rPr>
          <w:rFonts w:ascii="宋体" w:hAnsi="宋体" w:eastAsia="宋体"/>
          <w:sz w:val="28"/>
          <w:szCs w:val="28"/>
        </w:rPr>
      </w:pPr>
      <w:r>
        <w:rPr>
          <w:rFonts w:hint="eastAsia" w:ascii="宋体" w:hAnsi="宋体" w:eastAsia="宋体"/>
          <w:sz w:val="28"/>
          <w:szCs w:val="28"/>
        </w:rPr>
        <w:t>（三）</w:t>
      </w:r>
      <w:r>
        <w:rPr>
          <w:rFonts w:ascii="宋体" w:hAnsi="宋体" w:eastAsia="宋体"/>
          <w:sz w:val="28"/>
          <w:szCs w:val="28"/>
        </w:rPr>
        <w:t>有健全的财务制度、实行独立核算</w:t>
      </w:r>
      <w:r>
        <w:rPr>
          <w:rFonts w:hint="eastAsia" w:ascii="宋体" w:hAnsi="宋体" w:eastAsia="宋体"/>
          <w:sz w:val="28"/>
          <w:szCs w:val="28"/>
        </w:rPr>
        <w:t>，依法纳税</w:t>
      </w:r>
      <w:r>
        <w:rPr>
          <w:rFonts w:ascii="宋体" w:hAnsi="宋体" w:eastAsia="宋体"/>
          <w:sz w:val="28"/>
          <w:szCs w:val="28"/>
        </w:rPr>
        <w:t>。</w:t>
      </w:r>
    </w:p>
    <w:p>
      <w:pPr>
        <w:spacing w:beforeLines="0" w:line="360" w:lineRule="auto"/>
        <w:ind w:firstLine="560"/>
        <w:jc w:val="both"/>
        <w:rPr>
          <w:rFonts w:ascii="宋体" w:hAnsi="宋体" w:eastAsia="宋体"/>
          <w:sz w:val="28"/>
          <w:szCs w:val="28"/>
        </w:rPr>
      </w:pPr>
      <w:r>
        <w:rPr>
          <w:rFonts w:hint="eastAsia" w:ascii="宋体" w:hAnsi="宋体" w:eastAsia="宋体"/>
          <w:sz w:val="28"/>
          <w:szCs w:val="28"/>
        </w:rPr>
        <w:t>（四）依据本办法</w:t>
      </w:r>
      <w:r>
        <w:rPr>
          <w:rFonts w:ascii="宋体" w:hAnsi="宋体" w:eastAsia="宋体"/>
          <w:sz w:val="28"/>
          <w:szCs w:val="28"/>
        </w:rPr>
        <w:t>申请扶持的企业</w:t>
      </w:r>
      <w:r>
        <w:rPr>
          <w:rFonts w:hint="eastAsia" w:ascii="宋体" w:hAnsi="宋体" w:eastAsia="宋体"/>
          <w:sz w:val="28"/>
          <w:szCs w:val="28"/>
        </w:rPr>
        <w:t>或机构</w:t>
      </w:r>
      <w:r>
        <w:rPr>
          <w:rFonts w:ascii="宋体" w:hAnsi="宋体" w:eastAsia="宋体"/>
          <w:sz w:val="28"/>
          <w:szCs w:val="28"/>
        </w:rPr>
        <w:t>须提交投资协议或承诺书，承诺对相关政策及约定已知悉，</w:t>
      </w:r>
      <w:r>
        <w:rPr>
          <w:rFonts w:hint="eastAsia" w:ascii="宋体" w:hAnsi="宋体" w:eastAsia="宋体"/>
          <w:sz w:val="28"/>
          <w:szCs w:val="28"/>
        </w:rPr>
        <w:t>保证</w:t>
      </w:r>
      <w:r>
        <w:rPr>
          <w:rFonts w:ascii="宋体" w:hAnsi="宋体" w:eastAsia="宋体"/>
          <w:sz w:val="28"/>
          <w:szCs w:val="28"/>
        </w:rPr>
        <w:t>10年内不迁出海口市、不改变在海口市的纳税义务、不减少注册资</w:t>
      </w:r>
      <w:r>
        <w:rPr>
          <w:rFonts w:hint="eastAsia" w:ascii="宋体" w:hAnsi="宋体" w:eastAsia="宋体"/>
          <w:sz w:val="28"/>
          <w:szCs w:val="28"/>
        </w:rPr>
        <w:t>本、</w:t>
      </w:r>
      <w:r>
        <w:rPr>
          <w:rFonts w:ascii="宋体" w:hAnsi="宋体" w:eastAsia="宋体"/>
          <w:sz w:val="28"/>
          <w:szCs w:val="28"/>
        </w:rPr>
        <w:t>不变更统计关系。获得本办法奖励的企业如违反承诺，应主动退回</w:t>
      </w:r>
      <w:r>
        <w:rPr>
          <w:rFonts w:hint="eastAsia" w:ascii="宋体" w:hAnsi="宋体" w:eastAsia="宋体"/>
          <w:sz w:val="28"/>
          <w:szCs w:val="28"/>
        </w:rPr>
        <w:t>已</w:t>
      </w:r>
      <w:r>
        <w:rPr>
          <w:rFonts w:ascii="宋体" w:hAnsi="宋体" w:eastAsia="宋体"/>
          <w:sz w:val="28"/>
          <w:szCs w:val="28"/>
        </w:rPr>
        <w:t>领取的奖励资金。</w:t>
      </w:r>
      <w:r>
        <w:rPr>
          <w:rFonts w:hint="eastAsia" w:ascii="宋体" w:hAnsi="宋体" w:eastAsia="宋体"/>
          <w:sz w:val="28"/>
          <w:szCs w:val="28"/>
        </w:rPr>
        <w:t>未发放的奖励资金不再发放。</w:t>
      </w:r>
    </w:p>
    <w:p>
      <w:pPr>
        <w:spacing w:beforeLines="0" w:line="360" w:lineRule="auto"/>
        <w:ind w:firstLine="560"/>
        <w:jc w:val="both"/>
        <w:rPr>
          <w:rFonts w:ascii="宋体" w:hAnsi="宋体" w:eastAsia="宋体"/>
          <w:sz w:val="28"/>
          <w:szCs w:val="28"/>
        </w:rPr>
      </w:pPr>
      <w:r>
        <w:rPr>
          <w:rFonts w:hint="eastAsia" w:ascii="宋体" w:hAnsi="宋体" w:eastAsia="宋体"/>
          <w:sz w:val="28"/>
          <w:szCs w:val="28"/>
        </w:rPr>
        <w:t>（五）其他规定的条件。</w:t>
      </w:r>
    </w:p>
    <w:p>
      <w:pPr>
        <w:spacing w:beforeLines="0" w:line="360" w:lineRule="auto"/>
        <w:ind w:firstLine="560"/>
        <w:jc w:val="both"/>
        <w:rPr>
          <w:rFonts w:ascii="宋体" w:hAnsi="宋体" w:eastAsia="宋体"/>
          <w:sz w:val="28"/>
          <w:szCs w:val="28"/>
        </w:rPr>
      </w:pPr>
      <w:r>
        <w:rPr>
          <w:rStyle w:val="44"/>
          <w:rFonts w:hint="default" w:ascii="等线" w:hAnsi="等线" w:eastAsia="等线"/>
          <w:sz w:val="28"/>
          <w:szCs w:val="28"/>
        </w:rPr>
        <w:t>第四条</w:t>
      </w:r>
      <w:r>
        <w:rPr>
          <w:rStyle w:val="44"/>
          <w:rFonts w:hint="default" w:ascii="等线" w:hAnsi="等线" w:eastAsia="等线"/>
          <w:b w:val="0"/>
          <w:sz w:val="28"/>
          <w:szCs w:val="28"/>
        </w:rPr>
        <w:t xml:space="preserve">  </w:t>
      </w:r>
      <w:r>
        <w:rPr>
          <w:rFonts w:ascii="宋体" w:hAnsi="宋体" w:eastAsia="宋体"/>
          <w:sz w:val="28"/>
          <w:szCs w:val="28"/>
        </w:rPr>
        <w:t>鼓励航运企业在</w:t>
      </w:r>
      <w:r>
        <w:rPr>
          <w:rFonts w:hint="eastAsia" w:ascii="宋体" w:hAnsi="宋体" w:eastAsia="宋体"/>
          <w:sz w:val="28"/>
          <w:szCs w:val="28"/>
        </w:rPr>
        <w:t>本市</w:t>
      </w:r>
      <w:r>
        <w:rPr>
          <w:rFonts w:ascii="宋体" w:hAnsi="宋体" w:eastAsia="宋体"/>
          <w:sz w:val="28"/>
          <w:szCs w:val="28"/>
        </w:rPr>
        <w:t>注册。</w:t>
      </w:r>
      <w:r>
        <w:rPr>
          <w:rFonts w:hint="eastAsia" w:ascii="宋体" w:hAnsi="宋体" w:eastAsia="宋体"/>
          <w:sz w:val="28"/>
          <w:szCs w:val="28"/>
        </w:rPr>
        <w:t>对符合本办法第十三条第（一）款或第（二）款的企业对应进行奖励</w:t>
      </w:r>
      <w:r>
        <w:rPr>
          <w:rFonts w:hint="eastAsia" w:ascii="宋体" w:hAnsi="宋体" w:eastAsia="宋体"/>
          <w:strike w:val="0"/>
          <w:dstrike w:val="0"/>
          <w:color w:val="auto"/>
          <w:sz w:val="28"/>
          <w:szCs w:val="28"/>
        </w:rPr>
        <w:t>。</w:t>
      </w:r>
      <w:r>
        <w:rPr>
          <w:rFonts w:hint="eastAsia" w:ascii="宋体" w:hAnsi="宋体" w:eastAsia="宋体"/>
          <w:sz w:val="28"/>
          <w:szCs w:val="28"/>
        </w:rPr>
        <w:t>企业可按就高原则申请享受我市出台的其他类同优惠政策，但不重复享受。</w:t>
      </w:r>
    </w:p>
    <w:p>
      <w:pPr>
        <w:spacing w:beforeLines="0" w:line="360" w:lineRule="auto"/>
        <w:ind w:firstLine="560"/>
        <w:jc w:val="both"/>
        <w:rPr>
          <w:rFonts w:ascii="宋体" w:hAnsi="宋体" w:eastAsia="宋体"/>
          <w:sz w:val="28"/>
          <w:szCs w:val="28"/>
        </w:rPr>
      </w:pPr>
      <w:r>
        <w:rPr>
          <w:rStyle w:val="44"/>
          <w:rFonts w:hint="default" w:ascii="等线" w:hAnsi="等线" w:eastAsia="等线"/>
          <w:sz w:val="28"/>
          <w:szCs w:val="28"/>
        </w:rPr>
        <w:t>第五条</w:t>
      </w:r>
      <w:r>
        <w:rPr>
          <w:rStyle w:val="44"/>
          <w:rFonts w:hint="default" w:ascii="等线" w:hAnsi="等线" w:eastAsia="等线"/>
          <w:b w:val="0"/>
          <w:sz w:val="28"/>
          <w:szCs w:val="28"/>
        </w:rPr>
        <w:t>　</w:t>
      </w:r>
      <w:r>
        <w:rPr>
          <w:rFonts w:ascii="宋体" w:hAnsi="宋体" w:eastAsia="宋体"/>
          <w:sz w:val="28"/>
          <w:szCs w:val="28"/>
        </w:rPr>
        <w:t>鼓励航运企业增加运力。</w:t>
      </w:r>
      <w:r>
        <w:rPr>
          <w:rFonts w:hint="eastAsia" w:ascii="宋体" w:hAnsi="宋体" w:eastAsia="宋体"/>
          <w:sz w:val="28"/>
          <w:szCs w:val="28"/>
        </w:rPr>
        <w:t>在本市注册的航运企业，在运力规模没有减少的情况下，自2021年度起自有并经营的船舶落籍海口，可按以下奖励补贴标准申请落籍补贴，补贴分3年平均发放：</w:t>
      </w:r>
      <w:r>
        <w:rPr>
          <w:rFonts w:ascii="宋体" w:hAnsi="宋体" w:eastAsia="宋体"/>
          <w:sz w:val="28"/>
          <w:szCs w:val="28"/>
        </w:rPr>
        <w:t>船龄1-10年（含</w:t>
      </w:r>
      <w:r>
        <w:rPr>
          <w:rFonts w:hint="eastAsia" w:ascii="宋体" w:hAnsi="宋体" w:eastAsia="宋体"/>
          <w:sz w:val="28"/>
          <w:szCs w:val="28"/>
        </w:rPr>
        <w:t>1</w:t>
      </w:r>
      <w:r>
        <w:rPr>
          <w:rFonts w:ascii="宋体" w:hAnsi="宋体" w:eastAsia="宋体"/>
          <w:sz w:val="28"/>
          <w:szCs w:val="28"/>
        </w:rPr>
        <w:t>0</w:t>
      </w:r>
      <w:r>
        <w:rPr>
          <w:rFonts w:hint="eastAsia" w:ascii="宋体" w:hAnsi="宋体" w:eastAsia="宋体"/>
          <w:sz w:val="28"/>
          <w:szCs w:val="28"/>
        </w:rPr>
        <w:t>年</w:t>
      </w:r>
      <w:r>
        <w:rPr>
          <w:rFonts w:ascii="宋体" w:hAnsi="宋体" w:eastAsia="宋体"/>
          <w:sz w:val="28"/>
          <w:szCs w:val="28"/>
        </w:rPr>
        <w:t>）每载重吨补贴80元，船龄11年（含</w:t>
      </w:r>
      <w:r>
        <w:rPr>
          <w:rFonts w:hint="eastAsia" w:ascii="宋体" w:hAnsi="宋体" w:eastAsia="宋体"/>
          <w:sz w:val="28"/>
          <w:szCs w:val="28"/>
        </w:rPr>
        <w:t>1</w:t>
      </w:r>
      <w:r>
        <w:rPr>
          <w:rFonts w:ascii="宋体" w:hAnsi="宋体" w:eastAsia="宋体"/>
          <w:sz w:val="28"/>
          <w:szCs w:val="28"/>
        </w:rPr>
        <w:t>1</w:t>
      </w:r>
      <w:r>
        <w:rPr>
          <w:rFonts w:hint="eastAsia" w:ascii="宋体" w:hAnsi="宋体" w:eastAsia="宋体"/>
          <w:sz w:val="28"/>
          <w:szCs w:val="28"/>
        </w:rPr>
        <w:t>年</w:t>
      </w:r>
      <w:r>
        <w:rPr>
          <w:rFonts w:ascii="宋体" w:hAnsi="宋体" w:eastAsia="宋体"/>
          <w:sz w:val="28"/>
          <w:szCs w:val="28"/>
        </w:rPr>
        <w:t>）</w:t>
      </w:r>
      <w:r>
        <w:rPr>
          <w:rFonts w:hint="eastAsia" w:ascii="宋体" w:hAnsi="宋体" w:eastAsia="宋体"/>
          <w:sz w:val="28"/>
          <w:szCs w:val="28"/>
        </w:rPr>
        <w:t>以上</w:t>
      </w:r>
      <w:r>
        <w:rPr>
          <w:rFonts w:ascii="宋体" w:hAnsi="宋体" w:eastAsia="宋体"/>
          <w:sz w:val="28"/>
          <w:szCs w:val="28"/>
        </w:rPr>
        <w:t>每载重吨补贴60元</w:t>
      </w:r>
      <w:r>
        <w:rPr>
          <w:rFonts w:hint="eastAsia" w:ascii="宋体" w:hAnsi="宋体" w:eastAsia="宋体"/>
          <w:sz w:val="28"/>
          <w:szCs w:val="28"/>
        </w:rPr>
        <w:t>。</w:t>
      </w:r>
    </w:p>
    <w:p>
      <w:pPr>
        <w:spacing w:beforeLines="0" w:line="360" w:lineRule="auto"/>
        <w:ind w:firstLine="560"/>
        <w:jc w:val="both"/>
        <w:rPr>
          <w:rFonts w:ascii="宋体" w:hAnsi="宋体" w:eastAsia="宋体"/>
          <w:sz w:val="28"/>
          <w:szCs w:val="28"/>
        </w:rPr>
      </w:pPr>
      <w:r>
        <w:rPr>
          <w:rFonts w:hint="eastAsia" w:ascii="宋体" w:hAnsi="宋体" w:eastAsia="宋体"/>
          <w:sz w:val="28"/>
          <w:szCs w:val="28"/>
        </w:rPr>
        <w:t>资金拨付后新</w:t>
      </w:r>
      <w:r>
        <w:rPr>
          <w:rFonts w:ascii="宋体" w:hAnsi="宋体" w:eastAsia="宋体"/>
          <w:sz w:val="28"/>
          <w:szCs w:val="28"/>
        </w:rPr>
        <w:t>落籍</w:t>
      </w:r>
      <w:r>
        <w:rPr>
          <w:rFonts w:hint="eastAsia" w:ascii="宋体" w:hAnsi="宋体" w:eastAsia="宋体"/>
          <w:sz w:val="28"/>
          <w:szCs w:val="28"/>
        </w:rPr>
        <w:t>的船舶需持续保有并实际运营</w:t>
      </w:r>
      <w:r>
        <w:rPr>
          <w:rFonts w:hint="eastAsia" w:ascii="宋体" w:hAnsi="宋体" w:eastAsia="宋体"/>
          <w:sz w:val="28"/>
          <w:szCs w:val="28"/>
          <w:lang w:val="en-US" w:eastAsia="zh-CN"/>
        </w:rPr>
        <w:t>不少于10年</w:t>
      </w:r>
      <w:r>
        <w:rPr>
          <w:rFonts w:hint="eastAsia" w:ascii="宋体" w:hAnsi="宋体" w:eastAsia="宋体"/>
          <w:sz w:val="28"/>
          <w:szCs w:val="28"/>
        </w:rPr>
        <w:t>。</w:t>
      </w:r>
    </w:p>
    <w:p>
      <w:pPr>
        <w:spacing w:before="211"/>
        <w:ind w:firstLine="560"/>
        <w:jc w:val="both"/>
        <w:rPr>
          <w:rFonts w:ascii="宋体" w:hAnsi="宋体" w:eastAsia="宋体"/>
          <w:sz w:val="28"/>
          <w:szCs w:val="28"/>
        </w:rPr>
      </w:pPr>
      <w:r>
        <w:rPr>
          <w:rStyle w:val="44"/>
          <w:rFonts w:hint="default" w:ascii="等线" w:hAnsi="等线" w:eastAsia="等线"/>
          <w:sz w:val="28"/>
          <w:szCs w:val="28"/>
        </w:rPr>
        <w:t>第六条</w:t>
      </w:r>
      <w:r>
        <w:rPr>
          <w:rStyle w:val="44"/>
          <w:rFonts w:hint="default" w:ascii="等线" w:hAnsi="等线" w:eastAsia="等线"/>
          <w:b w:val="0"/>
          <w:sz w:val="28"/>
          <w:szCs w:val="28"/>
        </w:rPr>
        <w:t>　</w:t>
      </w:r>
      <w:r>
        <w:rPr>
          <w:rFonts w:hint="eastAsia" w:ascii="宋体" w:hAnsi="宋体" w:eastAsia="宋体"/>
          <w:sz w:val="28"/>
          <w:szCs w:val="28"/>
        </w:rPr>
        <w:t>鼓励航运企业保持船舶总运力。对运力规模没有减少，且年度完成货运周转量</w:t>
      </w:r>
      <w:r>
        <w:rPr>
          <w:rFonts w:ascii="宋体" w:hAnsi="宋体" w:eastAsia="宋体"/>
          <w:sz w:val="28"/>
          <w:szCs w:val="28"/>
        </w:rPr>
        <w:t>5万万吨公里（含5万）以上的企业按以下规定给予补贴：</w:t>
      </w:r>
    </w:p>
    <w:p>
      <w:pPr>
        <w:spacing w:before="211"/>
        <w:ind w:firstLine="560"/>
        <w:jc w:val="both"/>
        <w:rPr>
          <w:rFonts w:ascii="宋体" w:hAnsi="宋体" w:eastAsia="宋体"/>
          <w:sz w:val="28"/>
          <w:szCs w:val="28"/>
        </w:rPr>
      </w:pPr>
      <w:r>
        <w:rPr>
          <w:rFonts w:hint="eastAsia" w:ascii="宋体" w:hAnsi="宋体" w:eastAsia="宋体"/>
          <w:sz w:val="28"/>
          <w:szCs w:val="28"/>
        </w:rPr>
        <w:t>（一）运力规模在</w:t>
      </w:r>
      <w:r>
        <w:rPr>
          <w:rFonts w:ascii="宋体" w:hAnsi="宋体" w:eastAsia="宋体"/>
          <w:sz w:val="28"/>
          <w:szCs w:val="28"/>
        </w:rPr>
        <w:t>1万载重吨以上（含1万</w:t>
      </w:r>
      <w:r>
        <w:rPr>
          <w:rFonts w:hint="eastAsia" w:ascii="宋体" w:hAnsi="宋体" w:eastAsia="宋体"/>
          <w:sz w:val="28"/>
          <w:szCs w:val="28"/>
        </w:rPr>
        <w:t>载重吨</w:t>
      </w:r>
      <w:r>
        <w:rPr>
          <w:rFonts w:ascii="宋体" w:hAnsi="宋体" w:eastAsia="宋体"/>
          <w:sz w:val="28"/>
          <w:szCs w:val="28"/>
        </w:rPr>
        <w:t>）、5万载重吨以下，</w:t>
      </w:r>
      <w:r>
        <w:rPr>
          <w:rStyle w:val="44"/>
          <w:rFonts w:hint="default" w:ascii="宋体" w:hAnsi="宋体" w:eastAsia="宋体"/>
          <w:b w:val="0"/>
          <w:sz w:val="28"/>
          <w:szCs w:val="28"/>
        </w:rPr>
        <w:t>年</w:t>
      </w:r>
      <w:r>
        <w:rPr>
          <w:rFonts w:ascii="宋体" w:hAnsi="宋体" w:eastAsia="宋体"/>
          <w:sz w:val="28"/>
          <w:szCs w:val="28"/>
        </w:rPr>
        <w:t>补贴5万元。</w:t>
      </w:r>
    </w:p>
    <w:p>
      <w:pPr>
        <w:spacing w:before="211"/>
        <w:ind w:firstLine="560"/>
        <w:jc w:val="both"/>
        <w:rPr>
          <w:rFonts w:ascii="宋体" w:hAnsi="宋体" w:eastAsia="宋体"/>
          <w:sz w:val="28"/>
          <w:szCs w:val="28"/>
        </w:rPr>
      </w:pPr>
      <w:r>
        <w:rPr>
          <w:rFonts w:hint="eastAsia" w:ascii="宋体" w:hAnsi="宋体" w:eastAsia="宋体"/>
          <w:sz w:val="28"/>
          <w:szCs w:val="28"/>
        </w:rPr>
        <w:t>（二）运力规模在</w:t>
      </w:r>
      <w:r>
        <w:rPr>
          <w:rFonts w:ascii="宋体" w:hAnsi="宋体" w:eastAsia="宋体"/>
          <w:sz w:val="28"/>
          <w:szCs w:val="28"/>
        </w:rPr>
        <w:t>5万载重吨以上（含5万</w:t>
      </w:r>
      <w:r>
        <w:rPr>
          <w:rFonts w:hint="eastAsia" w:ascii="宋体" w:hAnsi="宋体" w:eastAsia="宋体"/>
          <w:sz w:val="28"/>
          <w:szCs w:val="28"/>
        </w:rPr>
        <w:t>载重吨</w:t>
      </w:r>
      <w:r>
        <w:rPr>
          <w:rFonts w:ascii="宋体" w:hAnsi="宋体" w:eastAsia="宋体"/>
          <w:sz w:val="28"/>
          <w:szCs w:val="28"/>
        </w:rPr>
        <w:t>）、20万载重吨以下，</w:t>
      </w:r>
      <w:r>
        <w:rPr>
          <w:rStyle w:val="44"/>
          <w:rFonts w:hint="default" w:ascii="宋体" w:hAnsi="宋体" w:eastAsia="宋体"/>
          <w:b w:val="0"/>
          <w:sz w:val="28"/>
          <w:szCs w:val="28"/>
        </w:rPr>
        <w:t>年</w:t>
      </w:r>
      <w:r>
        <w:rPr>
          <w:rFonts w:ascii="宋体" w:hAnsi="宋体" w:eastAsia="宋体"/>
          <w:sz w:val="28"/>
          <w:szCs w:val="28"/>
        </w:rPr>
        <w:t>补贴10万元。</w:t>
      </w:r>
    </w:p>
    <w:p>
      <w:pPr>
        <w:spacing w:before="211"/>
        <w:ind w:firstLine="560"/>
        <w:jc w:val="both"/>
        <w:rPr>
          <w:rFonts w:ascii="宋体" w:hAnsi="宋体" w:eastAsia="宋体"/>
          <w:sz w:val="28"/>
          <w:szCs w:val="28"/>
        </w:rPr>
      </w:pPr>
      <w:r>
        <w:rPr>
          <w:rFonts w:hint="eastAsia" w:ascii="宋体" w:hAnsi="宋体" w:eastAsia="宋体"/>
          <w:sz w:val="28"/>
          <w:szCs w:val="28"/>
        </w:rPr>
        <w:t>（三）运力规模在</w:t>
      </w:r>
      <w:r>
        <w:rPr>
          <w:rFonts w:ascii="宋体" w:hAnsi="宋体" w:eastAsia="宋体"/>
          <w:sz w:val="28"/>
          <w:szCs w:val="28"/>
        </w:rPr>
        <w:t>20万载重吨以上（含20万</w:t>
      </w:r>
      <w:r>
        <w:rPr>
          <w:rFonts w:hint="eastAsia" w:ascii="宋体" w:hAnsi="宋体" w:eastAsia="宋体"/>
          <w:sz w:val="28"/>
          <w:szCs w:val="28"/>
        </w:rPr>
        <w:t>载重吨</w:t>
      </w:r>
      <w:r>
        <w:rPr>
          <w:rFonts w:ascii="宋体" w:hAnsi="宋体" w:eastAsia="宋体"/>
          <w:sz w:val="28"/>
          <w:szCs w:val="28"/>
        </w:rPr>
        <w:t>）、80万载重吨以下，</w:t>
      </w:r>
      <w:r>
        <w:rPr>
          <w:rStyle w:val="44"/>
          <w:rFonts w:hint="default" w:ascii="宋体" w:hAnsi="宋体" w:eastAsia="宋体"/>
          <w:b w:val="0"/>
          <w:sz w:val="28"/>
          <w:szCs w:val="28"/>
        </w:rPr>
        <w:t>年</w:t>
      </w:r>
      <w:r>
        <w:rPr>
          <w:rFonts w:ascii="宋体" w:hAnsi="宋体" w:eastAsia="宋体"/>
          <w:sz w:val="28"/>
          <w:szCs w:val="28"/>
        </w:rPr>
        <w:t>补贴100万元。</w:t>
      </w:r>
    </w:p>
    <w:p>
      <w:pPr>
        <w:spacing w:before="211"/>
        <w:ind w:firstLine="560"/>
        <w:jc w:val="both"/>
        <w:rPr>
          <w:rFonts w:ascii="宋体" w:hAnsi="宋体" w:eastAsia="宋体"/>
          <w:sz w:val="28"/>
          <w:szCs w:val="28"/>
        </w:rPr>
      </w:pPr>
      <w:r>
        <w:rPr>
          <w:rFonts w:hint="eastAsia" w:ascii="宋体" w:hAnsi="宋体" w:eastAsia="宋体"/>
          <w:sz w:val="28"/>
          <w:szCs w:val="28"/>
        </w:rPr>
        <w:t>（四）运力规模在</w:t>
      </w:r>
      <w:r>
        <w:rPr>
          <w:rFonts w:ascii="宋体" w:hAnsi="宋体" w:eastAsia="宋体"/>
          <w:sz w:val="28"/>
          <w:szCs w:val="28"/>
        </w:rPr>
        <w:t>80万载重吨以上（含80万</w:t>
      </w:r>
      <w:r>
        <w:rPr>
          <w:rFonts w:hint="eastAsia" w:ascii="宋体" w:hAnsi="宋体" w:eastAsia="宋体"/>
          <w:sz w:val="28"/>
          <w:szCs w:val="28"/>
        </w:rPr>
        <w:t>载重吨</w:t>
      </w:r>
      <w:r>
        <w:rPr>
          <w:rFonts w:ascii="宋体" w:hAnsi="宋体" w:eastAsia="宋体"/>
          <w:sz w:val="28"/>
          <w:szCs w:val="28"/>
        </w:rPr>
        <w:t>）的，</w:t>
      </w:r>
      <w:r>
        <w:rPr>
          <w:rStyle w:val="44"/>
          <w:rFonts w:hint="default" w:ascii="宋体" w:hAnsi="宋体" w:eastAsia="宋体"/>
          <w:b w:val="0"/>
          <w:sz w:val="28"/>
          <w:szCs w:val="28"/>
        </w:rPr>
        <w:t>年</w:t>
      </w:r>
      <w:r>
        <w:rPr>
          <w:rFonts w:ascii="宋体" w:hAnsi="宋体" w:eastAsia="宋体"/>
          <w:sz w:val="28"/>
          <w:szCs w:val="28"/>
        </w:rPr>
        <w:t>补贴200万元。</w:t>
      </w:r>
    </w:p>
    <w:p>
      <w:pPr>
        <w:spacing w:before="211"/>
        <w:ind w:firstLine="560"/>
        <w:jc w:val="both"/>
        <w:rPr>
          <w:rFonts w:ascii="宋体" w:hAnsi="宋体" w:eastAsia="宋体"/>
          <w:sz w:val="28"/>
          <w:szCs w:val="28"/>
        </w:rPr>
      </w:pPr>
      <w:r>
        <w:rPr>
          <w:rFonts w:hint="eastAsia" w:ascii="宋体" w:hAnsi="宋体" w:eastAsia="宋体"/>
          <w:sz w:val="28"/>
          <w:szCs w:val="28"/>
        </w:rPr>
        <w:t>以上补贴均不与当年新增运力补贴重复计算。</w:t>
      </w:r>
    </w:p>
    <w:p>
      <w:pPr>
        <w:spacing w:before="211"/>
        <w:ind w:firstLine="560"/>
        <w:jc w:val="both"/>
        <w:rPr>
          <w:rFonts w:ascii="宋体" w:hAnsi="宋体" w:eastAsia="宋体"/>
          <w:sz w:val="28"/>
          <w:szCs w:val="28"/>
        </w:rPr>
      </w:pPr>
      <w:r>
        <w:rPr>
          <w:rStyle w:val="44"/>
          <w:rFonts w:hint="default" w:ascii="等线" w:hAnsi="等线" w:eastAsia="等线"/>
          <w:sz w:val="28"/>
          <w:szCs w:val="28"/>
        </w:rPr>
        <w:t xml:space="preserve">第七条  </w:t>
      </w:r>
      <w:r>
        <w:rPr>
          <w:rFonts w:hint="eastAsia" w:ascii="宋体" w:hAnsi="宋体" w:eastAsia="宋体"/>
          <w:sz w:val="28"/>
          <w:szCs w:val="28"/>
        </w:rPr>
        <w:t>鼓励航运企业新开通集装箱班轮航线，开通未满</w:t>
      </w:r>
      <w:r>
        <w:rPr>
          <w:rFonts w:ascii="宋体" w:hAnsi="宋体" w:eastAsia="宋体"/>
          <w:sz w:val="28"/>
          <w:szCs w:val="28"/>
        </w:rPr>
        <w:t>3年的航线，均</w:t>
      </w:r>
      <w:r>
        <w:rPr>
          <w:rFonts w:hint="eastAsia" w:ascii="宋体" w:hAnsi="宋体" w:eastAsia="宋体"/>
          <w:sz w:val="28"/>
          <w:szCs w:val="28"/>
        </w:rPr>
        <w:t>可</w:t>
      </w:r>
      <w:r>
        <w:rPr>
          <w:rFonts w:ascii="宋体" w:hAnsi="宋体" w:eastAsia="宋体"/>
          <w:sz w:val="28"/>
          <w:szCs w:val="28"/>
        </w:rPr>
        <w:t>享受以下补贴</w:t>
      </w:r>
      <w:r>
        <w:rPr>
          <w:rFonts w:hint="eastAsia" w:ascii="宋体" w:hAnsi="宋体" w:eastAsia="宋体"/>
          <w:sz w:val="28"/>
          <w:szCs w:val="28"/>
        </w:rPr>
        <w:t>：</w:t>
      </w:r>
    </w:p>
    <w:p>
      <w:pPr>
        <w:spacing w:before="211"/>
        <w:ind w:firstLine="560"/>
        <w:jc w:val="both"/>
        <w:rPr>
          <w:rFonts w:ascii="宋体" w:hAnsi="宋体" w:eastAsia="宋体"/>
          <w:sz w:val="28"/>
          <w:szCs w:val="28"/>
        </w:rPr>
      </w:pPr>
      <w:r>
        <w:rPr>
          <w:rFonts w:hint="eastAsia" w:ascii="宋体" w:hAnsi="宋体" w:eastAsia="宋体"/>
          <w:sz w:val="28"/>
          <w:szCs w:val="28"/>
        </w:rPr>
        <w:t>（一）对新开通年发班 20 个航次以上（含20个航次）的外贸航线，每航次补贴 30 万元（仅限补贴 20 个航次），年补贴不超过 600万元；每多挂靠一个国家的港口（同一个国家内的多个港口不重复计算），年挂靠 16 个航次以上（含 16个航次）的，每月增加补贴 50万元。</w:t>
      </w:r>
    </w:p>
    <w:p>
      <w:pPr>
        <w:spacing w:before="211"/>
        <w:ind w:firstLine="560"/>
        <w:jc w:val="both"/>
        <w:rPr>
          <w:rFonts w:ascii="宋体" w:hAnsi="宋体" w:eastAsia="宋体"/>
          <w:sz w:val="28"/>
          <w:szCs w:val="28"/>
        </w:rPr>
      </w:pPr>
      <w:r>
        <w:rPr>
          <w:rFonts w:hint="eastAsia" w:ascii="宋体" w:hAnsi="宋体" w:eastAsia="宋体"/>
          <w:sz w:val="28"/>
          <w:szCs w:val="28"/>
        </w:rPr>
        <w:t>（二）对新开通年发班 24 个航次以上（含 24个航次）的华东（含）以北方向的内贸航线，每航次补贴 4 万元，年补贴不超过150 万元。</w:t>
      </w:r>
    </w:p>
    <w:p>
      <w:pPr>
        <w:spacing w:before="211"/>
        <w:ind w:firstLine="560"/>
        <w:jc w:val="both"/>
        <w:rPr>
          <w:rFonts w:ascii="宋体" w:hAnsi="宋体" w:eastAsia="宋体"/>
          <w:sz w:val="28"/>
          <w:szCs w:val="28"/>
        </w:rPr>
      </w:pPr>
      <w:r>
        <w:rPr>
          <w:rFonts w:hint="eastAsia" w:ascii="宋体" w:hAnsi="宋体" w:eastAsia="宋体"/>
          <w:sz w:val="28"/>
          <w:szCs w:val="28"/>
        </w:rPr>
        <w:t>（三）对在海口港挂靠的外贸航线，每航次补贴 10 万元，年补贴不超过 200 万元。</w:t>
      </w:r>
    </w:p>
    <w:p>
      <w:pPr>
        <w:spacing w:beforeLines="0" w:line="360" w:lineRule="auto"/>
        <w:ind w:firstLine="560"/>
        <w:jc w:val="both"/>
        <w:rPr>
          <w:rFonts w:ascii="宋体" w:hAnsi="宋体" w:eastAsia="宋体"/>
          <w:sz w:val="28"/>
          <w:szCs w:val="28"/>
        </w:rPr>
      </w:pPr>
      <w:r>
        <w:rPr>
          <w:rFonts w:hint="eastAsia" w:ascii="宋体" w:hAnsi="宋体" w:eastAsia="宋体"/>
          <w:sz w:val="28"/>
          <w:szCs w:val="28"/>
        </w:rPr>
        <w:t>（四）对新开通年发班 24 个航次以上（含 24个航次）的港、澳、台集装箱班轮航线，每航次补贴</w:t>
      </w:r>
      <w:r>
        <w:rPr>
          <w:rFonts w:ascii="宋体" w:hAnsi="宋体" w:eastAsia="宋体"/>
          <w:sz w:val="28"/>
          <w:szCs w:val="28"/>
        </w:rPr>
        <w:t>10</w:t>
      </w:r>
      <w:r>
        <w:rPr>
          <w:rFonts w:hint="eastAsia" w:ascii="宋体" w:hAnsi="宋体" w:eastAsia="宋体"/>
          <w:sz w:val="28"/>
          <w:szCs w:val="28"/>
        </w:rPr>
        <w:t>万元，年补贴不超过</w:t>
      </w:r>
      <w:r>
        <w:rPr>
          <w:rFonts w:ascii="宋体" w:hAnsi="宋体" w:eastAsia="宋体"/>
          <w:sz w:val="28"/>
          <w:szCs w:val="28"/>
        </w:rPr>
        <w:t>300</w:t>
      </w:r>
      <w:r>
        <w:rPr>
          <w:rFonts w:hint="eastAsia" w:ascii="宋体" w:hAnsi="宋体" w:eastAsia="宋体"/>
          <w:sz w:val="28"/>
          <w:szCs w:val="28"/>
        </w:rPr>
        <w:t>万元。</w:t>
      </w:r>
    </w:p>
    <w:p>
      <w:pPr>
        <w:spacing w:beforeLines="0" w:line="360" w:lineRule="auto"/>
        <w:ind w:firstLine="560"/>
        <w:jc w:val="both"/>
        <w:rPr>
          <w:rStyle w:val="44"/>
          <w:rFonts w:hint="default" w:ascii="宋体" w:hAnsi="宋体" w:eastAsia="宋体"/>
          <w:b w:val="0"/>
          <w:sz w:val="28"/>
          <w:szCs w:val="28"/>
        </w:rPr>
      </w:pPr>
      <w:r>
        <w:rPr>
          <w:rStyle w:val="44"/>
          <w:rFonts w:hint="default" w:ascii="宋体" w:hAnsi="宋体" w:eastAsia="宋体"/>
          <w:b w:val="0"/>
          <w:sz w:val="28"/>
          <w:szCs w:val="28"/>
        </w:rPr>
        <w:t>某一航次仅适用于本条的某一款，不重复计算。</w:t>
      </w:r>
    </w:p>
    <w:p>
      <w:pPr>
        <w:spacing w:beforeLines="0" w:line="360" w:lineRule="auto"/>
        <w:ind w:firstLine="560"/>
        <w:jc w:val="both"/>
        <w:rPr>
          <w:sz w:val="28"/>
          <w:szCs w:val="28"/>
        </w:rPr>
      </w:pPr>
      <w:r>
        <w:rPr>
          <w:rStyle w:val="44"/>
          <w:rFonts w:hint="default" w:ascii="等线" w:hAnsi="等线" w:eastAsia="等线"/>
          <w:sz w:val="28"/>
          <w:szCs w:val="28"/>
        </w:rPr>
        <w:t>第八条</w:t>
      </w:r>
      <w:r>
        <w:rPr>
          <w:rStyle w:val="44"/>
          <w:rFonts w:hint="default" w:ascii="等线" w:hAnsi="等线" w:eastAsia="等线"/>
          <w:b w:val="0"/>
          <w:sz w:val="28"/>
          <w:szCs w:val="28"/>
        </w:rPr>
        <w:t>　</w:t>
      </w:r>
      <w:r>
        <w:rPr>
          <w:rFonts w:ascii="宋体" w:hAnsi="宋体" w:eastAsia="宋体"/>
          <w:sz w:val="28"/>
          <w:szCs w:val="28"/>
        </w:rPr>
        <w:t>鼓励集装箱班轮航线稳定发班，对在海口港稳定运行3年以上（含3年）的集装箱班轮航线按以下规定给予航运企业补贴：</w:t>
      </w:r>
    </w:p>
    <w:p>
      <w:pPr>
        <w:spacing w:beforeLines="0" w:line="360" w:lineRule="auto"/>
        <w:ind w:firstLine="560"/>
        <w:jc w:val="both"/>
        <w:rPr>
          <w:sz w:val="28"/>
          <w:szCs w:val="28"/>
        </w:rPr>
      </w:pPr>
      <w:r>
        <w:rPr>
          <w:rFonts w:ascii="宋体" w:hAnsi="宋体" w:eastAsia="宋体"/>
          <w:sz w:val="28"/>
          <w:szCs w:val="28"/>
        </w:rPr>
        <w:t>（一）年发班20个航次以上（含20</w:t>
      </w:r>
      <w:r>
        <w:rPr>
          <w:rFonts w:hint="eastAsia" w:ascii="宋体" w:hAnsi="宋体" w:eastAsia="宋体"/>
          <w:sz w:val="28"/>
          <w:szCs w:val="28"/>
        </w:rPr>
        <w:t>个航次</w:t>
      </w:r>
      <w:r>
        <w:rPr>
          <w:rFonts w:ascii="宋体" w:hAnsi="宋体" w:eastAsia="宋体"/>
          <w:sz w:val="28"/>
          <w:szCs w:val="28"/>
        </w:rPr>
        <w:t>）的外贸航线，</w:t>
      </w:r>
      <w:r>
        <w:rPr>
          <w:rFonts w:hint="eastAsia" w:ascii="宋体" w:hAnsi="宋体" w:eastAsia="宋体"/>
          <w:sz w:val="28"/>
          <w:szCs w:val="28"/>
        </w:rPr>
        <w:t>年</w:t>
      </w:r>
      <w:r>
        <w:rPr>
          <w:rFonts w:ascii="宋体" w:hAnsi="宋体" w:eastAsia="宋体"/>
          <w:sz w:val="28"/>
          <w:szCs w:val="28"/>
        </w:rPr>
        <w:t>补贴300万元。</w:t>
      </w:r>
    </w:p>
    <w:p>
      <w:pPr>
        <w:spacing w:beforeLines="0" w:line="360" w:lineRule="auto"/>
        <w:ind w:firstLine="560"/>
        <w:jc w:val="both"/>
        <w:rPr>
          <w:sz w:val="28"/>
          <w:szCs w:val="28"/>
        </w:rPr>
      </w:pPr>
      <w:r>
        <w:rPr>
          <w:rFonts w:ascii="宋体" w:hAnsi="宋体" w:eastAsia="宋体"/>
          <w:sz w:val="28"/>
          <w:szCs w:val="28"/>
        </w:rPr>
        <w:t>（二）年发班72个航次以上（含72</w:t>
      </w:r>
      <w:r>
        <w:rPr>
          <w:rFonts w:hint="eastAsia" w:ascii="宋体" w:hAnsi="宋体" w:eastAsia="宋体"/>
          <w:sz w:val="28"/>
          <w:szCs w:val="28"/>
        </w:rPr>
        <w:t>个航次</w:t>
      </w:r>
      <w:r>
        <w:rPr>
          <w:rFonts w:ascii="宋体" w:hAnsi="宋体" w:eastAsia="宋体"/>
          <w:sz w:val="28"/>
          <w:szCs w:val="28"/>
        </w:rPr>
        <w:t>）的</w:t>
      </w:r>
      <w:r>
        <w:rPr>
          <w:rFonts w:hint="eastAsia" w:ascii="宋体" w:hAnsi="宋体" w:eastAsia="宋体"/>
          <w:sz w:val="28"/>
          <w:szCs w:val="28"/>
        </w:rPr>
        <w:t>港、澳、台</w:t>
      </w:r>
      <w:r>
        <w:rPr>
          <w:rFonts w:ascii="宋体" w:hAnsi="宋体" w:eastAsia="宋体"/>
          <w:sz w:val="28"/>
          <w:szCs w:val="28"/>
        </w:rPr>
        <w:t>航线，</w:t>
      </w:r>
      <w:r>
        <w:rPr>
          <w:rFonts w:hint="eastAsia" w:ascii="宋体" w:hAnsi="宋体" w:eastAsia="宋体"/>
          <w:sz w:val="28"/>
          <w:szCs w:val="28"/>
        </w:rPr>
        <w:t>年</w:t>
      </w:r>
      <w:r>
        <w:rPr>
          <w:rFonts w:ascii="宋体" w:hAnsi="宋体" w:eastAsia="宋体"/>
          <w:sz w:val="28"/>
          <w:szCs w:val="28"/>
        </w:rPr>
        <w:t>补贴100万元。</w:t>
      </w:r>
    </w:p>
    <w:p>
      <w:pPr>
        <w:spacing w:beforeLines="0" w:line="360" w:lineRule="auto"/>
        <w:ind w:firstLine="560"/>
        <w:jc w:val="both"/>
        <w:rPr>
          <w:rFonts w:ascii="宋体" w:hAnsi="宋体" w:eastAsia="宋体"/>
          <w:sz w:val="28"/>
          <w:szCs w:val="28"/>
        </w:rPr>
      </w:pPr>
      <w:r>
        <w:rPr>
          <w:rFonts w:ascii="宋体" w:hAnsi="宋体" w:eastAsia="宋体"/>
          <w:sz w:val="28"/>
          <w:szCs w:val="28"/>
        </w:rPr>
        <w:t>（三）年发班24个航次以上（含24</w:t>
      </w:r>
      <w:r>
        <w:rPr>
          <w:rFonts w:hint="eastAsia" w:ascii="宋体" w:hAnsi="宋体" w:eastAsia="宋体"/>
          <w:sz w:val="28"/>
          <w:szCs w:val="28"/>
        </w:rPr>
        <w:t>个航次</w:t>
      </w:r>
      <w:r>
        <w:rPr>
          <w:rFonts w:ascii="宋体" w:hAnsi="宋体" w:eastAsia="宋体"/>
          <w:sz w:val="28"/>
          <w:szCs w:val="28"/>
        </w:rPr>
        <w:t>）华东（含）以北方向的内贸航线，</w:t>
      </w:r>
      <w:r>
        <w:rPr>
          <w:rFonts w:hint="eastAsia" w:ascii="宋体" w:hAnsi="宋体" w:eastAsia="宋体"/>
          <w:sz w:val="28"/>
          <w:szCs w:val="28"/>
        </w:rPr>
        <w:t>年</w:t>
      </w:r>
      <w:r>
        <w:rPr>
          <w:rFonts w:ascii="宋体" w:hAnsi="宋体" w:eastAsia="宋体"/>
          <w:sz w:val="28"/>
          <w:szCs w:val="28"/>
        </w:rPr>
        <w:t>补贴100万元。</w:t>
      </w:r>
    </w:p>
    <w:p>
      <w:pPr>
        <w:spacing w:beforeLines="0" w:line="360" w:lineRule="auto"/>
        <w:ind w:firstLine="560"/>
        <w:jc w:val="both"/>
        <w:rPr>
          <w:rFonts w:ascii="宋体" w:hAnsi="宋体" w:eastAsia="宋体"/>
          <w:sz w:val="28"/>
          <w:szCs w:val="28"/>
        </w:rPr>
      </w:pPr>
      <w:r>
        <w:rPr>
          <w:rFonts w:hint="eastAsia" w:ascii="宋体" w:hAnsi="宋体" w:eastAsia="宋体"/>
          <w:sz w:val="28"/>
          <w:szCs w:val="28"/>
        </w:rPr>
        <w:t>（四）年发班</w:t>
      </w:r>
      <w:r>
        <w:rPr>
          <w:rFonts w:ascii="宋体" w:hAnsi="宋体" w:eastAsia="宋体"/>
          <w:sz w:val="28"/>
          <w:szCs w:val="28"/>
        </w:rPr>
        <w:t>100个航次以上（含100个航次）的环北部湾的内贸航线，年补贴50 万元。</w:t>
      </w:r>
    </w:p>
    <w:p>
      <w:pPr>
        <w:spacing w:beforeLines="0" w:line="360" w:lineRule="auto"/>
        <w:ind w:firstLine="560"/>
        <w:jc w:val="both"/>
        <w:rPr>
          <w:rFonts w:ascii="宋体" w:hAnsi="宋体" w:eastAsia="宋体"/>
          <w:sz w:val="28"/>
          <w:szCs w:val="28"/>
        </w:rPr>
      </w:pPr>
      <w:r>
        <w:rPr>
          <w:rStyle w:val="44"/>
          <w:rFonts w:hint="default" w:ascii="等线" w:hAnsi="等线" w:eastAsia="等线"/>
          <w:sz w:val="28"/>
          <w:szCs w:val="28"/>
        </w:rPr>
        <w:t>第九条</w:t>
      </w:r>
      <w:r>
        <w:rPr>
          <w:rStyle w:val="44"/>
          <w:rFonts w:hint="default" w:ascii="等线" w:hAnsi="等线" w:eastAsia="等线"/>
          <w:b w:val="0"/>
          <w:sz w:val="28"/>
          <w:szCs w:val="28"/>
        </w:rPr>
        <w:t>　</w:t>
      </w:r>
      <w:r>
        <w:rPr>
          <w:rFonts w:hint="eastAsia" w:ascii="宋体" w:hAnsi="宋体" w:eastAsia="宋体"/>
          <w:sz w:val="28"/>
          <w:szCs w:val="28"/>
        </w:rPr>
        <w:t>鼓励集装箱运输。对在海口港从事集装箱运输的航运企业，其吞吐量保持稳定的按以下规定给予补贴和奖励：</w:t>
      </w:r>
    </w:p>
    <w:p>
      <w:pPr>
        <w:spacing w:beforeLines="0" w:line="360" w:lineRule="auto"/>
        <w:ind w:firstLine="560"/>
        <w:jc w:val="both"/>
        <w:rPr>
          <w:rFonts w:ascii="宋体" w:hAnsi="宋体" w:eastAsia="宋体"/>
          <w:sz w:val="28"/>
          <w:szCs w:val="28"/>
        </w:rPr>
      </w:pPr>
      <w:r>
        <w:rPr>
          <w:rFonts w:hint="eastAsia" w:ascii="宋体" w:hAnsi="宋体" w:eastAsia="宋体"/>
          <w:sz w:val="28"/>
          <w:szCs w:val="28"/>
        </w:rPr>
        <w:t>（一）上年度集装箱吞吐量</w:t>
      </w:r>
      <w:r>
        <w:rPr>
          <w:rFonts w:ascii="宋体" w:hAnsi="宋体" w:eastAsia="宋体"/>
          <w:sz w:val="28"/>
          <w:szCs w:val="28"/>
        </w:rPr>
        <w:t>1万标箱（含1万）以上、5万标箱以下的企业，对完成量达到上年度箱量的补贴5万元，增量每标箱奖励30元。</w:t>
      </w:r>
    </w:p>
    <w:p>
      <w:pPr>
        <w:spacing w:beforeLines="0" w:line="360" w:lineRule="auto"/>
        <w:ind w:firstLine="560"/>
        <w:jc w:val="both"/>
        <w:rPr>
          <w:rFonts w:ascii="宋体" w:hAnsi="宋体" w:eastAsia="宋体"/>
          <w:sz w:val="28"/>
          <w:szCs w:val="28"/>
        </w:rPr>
      </w:pPr>
      <w:r>
        <w:rPr>
          <w:rFonts w:hint="eastAsia" w:ascii="宋体" w:hAnsi="宋体" w:eastAsia="宋体"/>
          <w:sz w:val="28"/>
          <w:szCs w:val="28"/>
        </w:rPr>
        <w:t>（二）上年度集装箱吞吐量</w:t>
      </w:r>
      <w:r>
        <w:rPr>
          <w:rFonts w:ascii="宋体" w:hAnsi="宋体" w:eastAsia="宋体"/>
          <w:sz w:val="28"/>
          <w:szCs w:val="28"/>
        </w:rPr>
        <w:t>5万标箱（含5万）以上、10万标箱以下的企业，对完成量达到上年度箱量的补贴10万元，增量每标箱奖励50元。</w:t>
      </w:r>
    </w:p>
    <w:p>
      <w:pPr>
        <w:spacing w:beforeLines="0" w:line="360" w:lineRule="auto"/>
        <w:ind w:firstLine="560"/>
        <w:jc w:val="both"/>
        <w:rPr>
          <w:rFonts w:ascii="宋体" w:hAnsi="宋体" w:eastAsia="宋体"/>
          <w:sz w:val="28"/>
          <w:szCs w:val="28"/>
        </w:rPr>
      </w:pPr>
      <w:r>
        <w:rPr>
          <w:rFonts w:hint="eastAsia" w:ascii="宋体" w:hAnsi="宋体" w:eastAsia="宋体"/>
          <w:sz w:val="28"/>
          <w:szCs w:val="28"/>
        </w:rPr>
        <w:t>（三）上年度集装箱吞吐量</w:t>
      </w:r>
      <w:r>
        <w:rPr>
          <w:rFonts w:ascii="宋体" w:hAnsi="宋体" w:eastAsia="宋体"/>
          <w:sz w:val="28"/>
          <w:szCs w:val="28"/>
        </w:rPr>
        <w:t>10万标箱（含10万）以上、30万标箱以下的企业，对完成量达到上年度箱量的补贴30万元，增量每标箱奖励60元。</w:t>
      </w:r>
    </w:p>
    <w:p>
      <w:pPr>
        <w:spacing w:beforeLines="0" w:line="360" w:lineRule="auto"/>
        <w:ind w:firstLine="560"/>
        <w:jc w:val="both"/>
        <w:rPr>
          <w:rFonts w:ascii="宋体" w:hAnsi="宋体" w:eastAsia="宋体"/>
          <w:sz w:val="28"/>
          <w:szCs w:val="28"/>
        </w:rPr>
      </w:pPr>
      <w:r>
        <w:rPr>
          <w:rFonts w:hint="eastAsia" w:ascii="宋体" w:hAnsi="宋体" w:eastAsia="宋体"/>
          <w:sz w:val="28"/>
          <w:szCs w:val="28"/>
        </w:rPr>
        <w:t>（四）上年度集装箱吞吐量</w:t>
      </w:r>
      <w:r>
        <w:rPr>
          <w:rFonts w:ascii="宋体" w:hAnsi="宋体" w:eastAsia="宋体"/>
          <w:sz w:val="28"/>
          <w:szCs w:val="28"/>
        </w:rPr>
        <w:t>30万标箱（含30万）以上、50万标箱以下的企业，对完成量达到上年度箱量的补贴50万元，增量每标箱奖励80元。</w:t>
      </w:r>
    </w:p>
    <w:p>
      <w:pPr>
        <w:spacing w:beforeLines="0" w:line="360" w:lineRule="auto"/>
        <w:ind w:firstLine="560"/>
        <w:jc w:val="both"/>
        <w:rPr>
          <w:rFonts w:ascii="宋体" w:hAnsi="宋体" w:eastAsia="宋体"/>
          <w:sz w:val="28"/>
          <w:szCs w:val="28"/>
        </w:rPr>
      </w:pPr>
      <w:r>
        <w:rPr>
          <w:rFonts w:hint="eastAsia" w:ascii="宋体" w:hAnsi="宋体" w:eastAsia="宋体"/>
          <w:sz w:val="28"/>
          <w:szCs w:val="28"/>
        </w:rPr>
        <w:t>（五）上年度集装箱吞吐量</w:t>
      </w:r>
      <w:r>
        <w:rPr>
          <w:rFonts w:ascii="宋体" w:hAnsi="宋体" w:eastAsia="宋体"/>
          <w:sz w:val="28"/>
          <w:szCs w:val="28"/>
        </w:rPr>
        <w:t>50万标箱（含50万）以上、70万标箱以下的企业，对完成量达到上年度箱量的补贴100万元，增量每标箱奖励100元。</w:t>
      </w:r>
    </w:p>
    <w:p>
      <w:pPr>
        <w:spacing w:beforeLines="0" w:line="360" w:lineRule="auto"/>
        <w:ind w:firstLine="560"/>
        <w:jc w:val="both"/>
        <w:rPr>
          <w:rFonts w:ascii="宋体" w:hAnsi="宋体" w:eastAsia="宋体"/>
          <w:sz w:val="28"/>
          <w:szCs w:val="28"/>
        </w:rPr>
      </w:pPr>
      <w:r>
        <w:rPr>
          <w:rFonts w:hint="eastAsia" w:ascii="宋体" w:hAnsi="宋体" w:eastAsia="宋体"/>
          <w:sz w:val="28"/>
          <w:szCs w:val="28"/>
        </w:rPr>
        <w:t>（六）上年度集装箱吞吐量</w:t>
      </w:r>
      <w:r>
        <w:rPr>
          <w:rFonts w:ascii="宋体" w:hAnsi="宋体" w:eastAsia="宋体"/>
          <w:sz w:val="28"/>
          <w:szCs w:val="28"/>
        </w:rPr>
        <w:t>70万标箱（含70万）以上的企业，对完成量达到上年度箱量的补贴150万元，增量每标箱奖励120元。</w:t>
      </w:r>
    </w:p>
    <w:p>
      <w:pPr>
        <w:spacing w:beforeLines="0" w:line="360" w:lineRule="auto"/>
        <w:ind w:firstLine="560"/>
        <w:jc w:val="both"/>
        <w:rPr>
          <w:rFonts w:ascii="宋体" w:hAnsi="宋体" w:eastAsia="宋体"/>
          <w:sz w:val="28"/>
          <w:szCs w:val="28"/>
        </w:rPr>
      </w:pPr>
      <w:r>
        <w:rPr>
          <w:rFonts w:hint="eastAsia" w:ascii="宋体" w:hAnsi="宋体" w:eastAsia="宋体"/>
          <w:sz w:val="28"/>
          <w:szCs w:val="28"/>
        </w:rPr>
        <w:t>（七）上年度集装箱吞吐量100</w:t>
      </w:r>
      <w:r>
        <w:rPr>
          <w:rFonts w:ascii="宋体" w:hAnsi="宋体" w:eastAsia="宋体"/>
          <w:sz w:val="28"/>
          <w:szCs w:val="28"/>
        </w:rPr>
        <w:t>万标箱（含</w:t>
      </w:r>
      <w:r>
        <w:rPr>
          <w:rFonts w:hint="eastAsia" w:ascii="宋体" w:hAnsi="宋体" w:eastAsia="宋体"/>
          <w:sz w:val="28"/>
          <w:szCs w:val="28"/>
        </w:rPr>
        <w:t>100</w:t>
      </w:r>
      <w:r>
        <w:rPr>
          <w:rFonts w:ascii="宋体" w:hAnsi="宋体" w:eastAsia="宋体"/>
          <w:sz w:val="28"/>
          <w:szCs w:val="28"/>
        </w:rPr>
        <w:t>万）以上的企业，对完成量达到上年度箱量的补贴</w:t>
      </w:r>
      <w:r>
        <w:rPr>
          <w:rFonts w:hint="eastAsia" w:ascii="宋体" w:hAnsi="宋体" w:eastAsia="宋体"/>
          <w:sz w:val="28"/>
          <w:szCs w:val="28"/>
        </w:rPr>
        <w:t>200</w:t>
      </w:r>
      <w:r>
        <w:rPr>
          <w:rFonts w:ascii="宋体" w:hAnsi="宋体" w:eastAsia="宋体"/>
          <w:sz w:val="28"/>
          <w:szCs w:val="28"/>
        </w:rPr>
        <w:t>万元，增量每标箱奖励1</w:t>
      </w:r>
      <w:r>
        <w:rPr>
          <w:rFonts w:hint="eastAsia" w:ascii="宋体" w:hAnsi="宋体" w:eastAsia="宋体"/>
          <w:sz w:val="28"/>
          <w:szCs w:val="28"/>
        </w:rPr>
        <w:t>50</w:t>
      </w:r>
      <w:r>
        <w:rPr>
          <w:rFonts w:ascii="宋体" w:hAnsi="宋体" w:eastAsia="宋体"/>
          <w:sz w:val="28"/>
          <w:szCs w:val="28"/>
        </w:rPr>
        <w:t>元。</w:t>
      </w:r>
    </w:p>
    <w:p>
      <w:pPr>
        <w:spacing w:beforeLines="0" w:line="360" w:lineRule="auto"/>
        <w:ind w:firstLine="560"/>
        <w:jc w:val="both"/>
        <w:rPr>
          <w:rFonts w:ascii="宋体" w:hAnsi="宋体" w:eastAsia="宋体"/>
          <w:sz w:val="28"/>
          <w:szCs w:val="28"/>
        </w:rPr>
      </w:pPr>
      <w:r>
        <w:rPr>
          <w:rFonts w:hint="eastAsia" w:ascii="宋体" w:hAnsi="宋体" w:eastAsia="宋体"/>
          <w:sz w:val="28"/>
          <w:szCs w:val="28"/>
        </w:rPr>
        <w:t>（八）重箱增量每标箱额外</w:t>
      </w:r>
      <w:r>
        <w:rPr>
          <w:rFonts w:ascii="宋体" w:hAnsi="宋体" w:eastAsia="宋体"/>
          <w:sz w:val="28"/>
          <w:szCs w:val="28"/>
        </w:rPr>
        <w:t>奖励</w:t>
      </w:r>
      <w:r>
        <w:rPr>
          <w:rFonts w:hint="eastAsia" w:ascii="宋体" w:hAnsi="宋体" w:eastAsia="宋体"/>
          <w:sz w:val="28"/>
          <w:szCs w:val="28"/>
        </w:rPr>
        <w:t>10元。</w:t>
      </w:r>
    </w:p>
    <w:p>
      <w:pPr>
        <w:spacing w:beforeLines="0" w:line="360" w:lineRule="auto"/>
        <w:ind w:firstLine="560"/>
        <w:jc w:val="both"/>
        <w:rPr>
          <w:rFonts w:ascii="宋体" w:hAnsi="宋体" w:eastAsia="宋体"/>
          <w:sz w:val="28"/>
          <w:szCs w:val="28"/>
        </w:rPr>
      </w:pPr>
      <w:r>
        <w:rPr>
          <w:rStyle w:val="44"/>
          <w:rFonts w:hint="default" w:ascii="等线" w:hAnsi="等线" w:eastAsia="等线"/>
          <w:sz w:val="28"/>
          <w:szCs w:val="28"/>
        </w:rPr>
        <w:t>第十条</w:t>
      </w:r>
      <w:r>
        <w:rPr>
          <w:rStyle w:val="44"/>
          <w:rFonts w:hint="default" w:ascii="等线" w:hAnsi="等线" w:eastAsia="等线"/>
          <w:b w:val="0"/>
          <w:sz w:val="28"/>
          <w:szCs w:val="28"/>
        </w:rPr>
        <w:t>　</w:t>
      </w:r>
      <w:r>
        <w:rPr>
          <w:rFonts w:hint="eastAsia" w:ascii="宋体" w:hAnsi="宋体" w:eastAsia="宋体"/>
          <w:bCs/>
          <w:sz w:val="28"/>
          <w:szCs w:val="28"/>
        </w:rPr>
        <w:t>鼓励集装箱在海口港中转和外贸出口。</w:t>
      </w:r>
    </w:p>
    <w:p>
      <w:pPr>
        <w:spacing w:beforeLines="0" w:line="360" w:lineRule="auto"/>
        <w:ind w:firstLine="560"/>
        <w:jc w:val="both"/>
        <w:rPr>
          <w:rFonts w:ascii="宋体" w:hAnsi="宋体" w:eastAsia="宋体"/>
          <w:sz w:val="28"/>
          <w:szCs w:val="28"/>
        </w:rPr>
      </w:pPr>
      <w:r>
        <w:rPr>
          <w:rFonts w:hint="eastAsia" w:ascii="宋体" w:hAnsi="宋体" w:eastAsia="宋体"/>
          <w:sz w:val="28"/>
          <w:szCs w:val="28"/>
        </w:rPr>
        <w:t>对在海口港中转的内贸重箱每标箱补贴</w:t>
      </w:r>
      <w:r>
        <w:rPr>
          <w:rFonts w:ascii="宋体" w:hAnsi="宋体" w:eastAsia="宋体"/>
          <w:sz w:val="28"/>
          <w:szCs w:val="28"/>
        </w:rPr>
        <w:t>25元，中转的外贸重箱每标箱补贴150元（均不含本省中转箱量），外贸出口重箱每标箱补贴100元。</w:t>
      </w:r>
    </w:p>
    <w:p>
      <w:pPr>
        <w:spacing w:beforeLines="0" w:line="360" w:lineRule="auto"/>
        <w:ind w:firstLine="560"/>
        <w:jc w:val="both"/>
        <w:rPr>
          <w:rFonts w:ascii="宋体" w:hAnsi="宋体" w:eastAsia="宋体"/>
          <w:sz w:val="28"/>
          <w:szCs w:val="28"/>
        </w:rPr>
      </w:pPr>
      <w:r>
        <w:rPr>
          <w:rFonts w:hint="eastAsia" w:ascii="宋体" w:hAnsi="宋体" w:eastAsia="宋体"/>
          <w:sz w:val="28"/>
          <w:szCs w:val="28"/>
        </w:rPr>
        <w:t>对在海口港开展内外贸同船航线业务的航运企业，年累计外贸重箱达到6000标箱及以上的，年补贴200万元。</w:t>
      </w:r>
    </w:p>
    <w:p>
      <w:pPr>
        <w:spacing w:beforeLines="0" w:line="360" w:lineRule="auto"/>
        <w:ind w:firstLine="560"/>
        <w:jc w:val="both"/>
        <w:rPr>
          <w:rFonts w:ascii="宋体" w:hAnsi="宋体" w:eastAsia="宋体"/>
          <w:sz w:val="28"/>
          <w:szCs w:val="28"/>
        </w:rPr>
      </w:pPr>
      <w:r>
        <w:rPr>
          <w:rFonts w:hint="eastAsia" w:ascii="宋体" w:hAnsi="宋体" w:eastAsia="宋体"/>
          <w:sz w:val="28"/>
          <w:szCs w:val="28"/>
        </w:rPr>
        <w:t>以上补贴与本办法第九条规定按就高、不重复原则计算执行。</w:t>
      </w:r>
    </w:p>
    <w:p>
      <w:pPr>
        <w:spacing w:beforeLines="0" w:line="360" w:lineRule="auto"/>
        <w:ind w:firstLine="560"/>
        <w:jc w:val="both"/>
        <w:rPr>
          <w:rFonts w:hint="eastAsia" w:ascii="宋体" w:hAnsi="宋体" w:eastAsia="宋体"/>
          <w:strike/>
          <w:dstrike w:val="0"/>
          <w:color w:val="00B0F0"/>
          <w:sz w:val="28"/>
          <w:szCs w:val="28"/>
        </w:rPr>
      </w:pPr>
      <w:r>
        <w:rPr>
          <w:rStyle w:val="44"/>
          <w:rFonts w:hint="default" w:ascii="等线" w:hAnsi="等线" w:eastAsia="等线"/>
          <w:strike w:val="0"/>
          <w:dstrike w:val="0"/>
          <w:color w:val="auto"/>
          <w:sz w:val="28"/>
          <w:szCs w:val="28"/>
        </w:rPr>
        <w:t>第十一条</w:t>
      </w:r>
      <w:r>
        <w:rPr>
          <w:rStyle w:val="44"/>
          <w:rFonts w:hint="default" w:ascii="等线" w:hAnsi="等线" w:eastAsia="等线"/>
          <w:b w:val="0"/>
          <w:strike w:val="0"/>
          <w:dstrike w:val="0"/>
          <w:color w:val="auto"/>
          <w:sz w:val="28"/>
          <w:szCs w:val="28"/>
        </w:rPr>
        <w:t>　</w:t>
      </w:r>
      <w:r>
        <w:rPr>
          <w:rFonts w:hint="eastAsia" w:ascii="宋体" w:hAnsi="宋体" w:eastAsia="宋体"/>
          <w:bCs/>
          <w:strike w:val="0"/>
          <w:dstrike w:val="0"/>
          <w:color w:val="auto"/>
          <w:sz w:val="28"/>
          <w:szCs w:val="28"/>
        </w:rPr>
        <w:t>加大</w:t>
      </w:r>
      <w:r>
        <w:rPr>
          <w:rFonts w:ascii="宋体" w:hAnsi="宋体" w:eastAsia="宋体"/>
          <w:bCs/>
          <w:strike w:val="0"/>
          <w:dstrike w:val="0"/>
          <w:color w:val="auto"/>
          <w:sz w:val="28"/>
          <w:szCs w:val="28"/>
        </w:rPr>
        <w:t>航运人才</w:t>
      </w:r>
      <w:r>
        <w:rPr>
          <w:rFonts w:hint="eastAsia" w:ascii="宋体" w:hAnsi="宋体" w:eastAsia="宋体"/>
          <w:bCs/>
          <w:strike w:val="0"/>
          <w:dstrike w:val="0"/>
          <w:color w:val="auto"/>
          <w:sz w:val="28"/>
          <w:szCs w:val="28"/>
        </w:rPr>
        <w:t>奖励力度</w:t>
      </w:r>
      <w:r>
        <w:rPr>
          <w:rFonts w:ascii="宋体" w:hAnsi="宋体" w:eastAsia="宋体"/>
          <w:bCs/>
          <w:strike w:val="0"/>
          <w:dstrike w:val="0"/>
          <w:color w:val="auto"/>
          <w:sz w:val="28"/>
          <w:szCs w:val="28"/>
        </w:rPr>
        <w:t>。</w:t>
      </w:r>
    </w:p>
    <w:p>
      <w:pPr>
        <w:spacing w:beforeLines="0" w:line="360" w:lineRule="auto"/>
        <w:ind w:firstLine="560"/>
        <w:jc w:val="both"/>
        <w:rPr>
          <w:rFonts w:hint="eastAsia" w:ascii="宋体" w:hAnsi="宋体" w:eastAsia="宋体"/>
          <w:bCs/>
          <w:sz w:val="28"/>
          <w:szCs w:val="28"/>
        </w:rPr>
      </w:pPr>
      <w:r>
        <w:rPr>
          <w:rFonts w:hint="eastAsia" w:ascii="宋体" w:hAnsi="宋体" w:eastAsia="宋体"/>
          <w:bCs/>
          <w:sz w:val="28"/>
          <w:szCs w:val="28"/>
          <w:lang w:val="en-US" w:eastAsia="zh-CN"/>
        </w:rPr>
        <w:t>对符合条件的航运人才，按《财政部 税务总局关于海南自由贸易港高端紧缺人才个人所得税政策的通知》（财税〔2020〕32号）、《海南省人民政府关于印发海南自由贸易港享受个人所得税优惠政策髙端紧缺人才清单管理暂行办法的通知》（琼府〔2020〕41号）和《海南省财政厅 海南省税务局 海南省市场监督管理局 海南省委人才发展局关于落实海南自由贸易港高端紧缺人才个人所得税优惠政策有关问题的通知》（琼财税〔2020〕1019号）有关规定执行。</w:t>
      </w:r>
    </w:p>
    <w:p>
      <w:pPr>
        <w:spacing w:beforeLines="0" w:line="360" w:lineRule="auto"/>
        <w:ind w:firstLine="560"/>
        <w:jc w:val="both"/>
        <w:rPr>
          <w:rFonts w:ascii="宋体" w:hAnsi="宋体" w:eastAsia="宋体"/>
          <w:bCs/>
          <w:sz w:val="28"/>
          <w:szCs w:val="28"/>
        </w:rPr>
      </w:pPr>
      <w:r>
        <w:rPr>
          <w:rStyle w:val="44"/>
          <w:rFonts w:hint="default" w:ascii="等线" w:hAnsi="等线" w:eastAsia="等线"/>
          <w:sz w:val="28"/>
          <w:szCs w:val="28"/>
        </w:rPr>
        <w:t>第十二条</w:t>
      </w:r>
      <w:r>
        <w:rPr>
          <w:rStyle w:val="44"/>
          <w:rFonts w:hint="default" w:ascii="等线" w:hAnsi="等线" w:eastAsia="等线"/>
          <w:b w:val="0"/>
          <w:sz w:val="28"/>
          <w:szCs w:val="28"/>
        </w:rPr>
        <w:t>　</w:t>
      </w:r>
      <w:r>
        <w:rPr>
          <w:rFonts w:ascii="宋体" w:hAnsi="宋体" w:eastAsia="宋体"/>
          <w:bCs/>
          <w:sz w:val="28"/>
          <w:szCs w:val="28"/>
        </w:rPr>
        <w:t>加大金融支持力度。</w:t>
      </w:r>
      <w:r>
        <w:rPr>
          <w:rFonts w:hint="eastAsia" w:ascii="宋体" w:hAnsi="宋体" w:eastAsia="宋体"/>
          <w:bCs/>
          <w:sz w:val="28"/>
          <w:szCs w:val="28"/>
        </w:rPr>
        <w:t>鼓励金融机构适当放宽符合条件的航运企业贷款额度和自有资金比例限制，支持航运企业建造或购置船舶。</w:t>
      </w:r>
    </w:p>
    <w:p>
      <w:pPr>
        <w:spacing w:beforeLines="0" w:line="360" w:lineRule="auto"/>
        <w:ind w:firstLine="560"/>
        <w:jc w:val="both"/>
        <w:rPr>
          <w:rStyle w:val="44"/>
          <w:rFonts w:hint="default" w:ascii="等线" w:hAnsi="等线" w:eastAsia="等线"/>
          <w:b w:val="0"/>
          <w:sz w:val="28"/>
          <w:szCs w:val="28"/>
        </w:rPr>
      </w:pPr>
      <w:r>
        <w:rPr>
          <w:rStyle w:val="44"/>
          <w:rFonts w:hint="default" w:ascii="等线" w:hAnsi="等线" w:eastAsia="等线"/>
          <w:sz w:val="28"/>
          <w:szCs w:val="28"/>
        </w:rPr>
        <w:t>第十三条</w:t>
      </w:r>
      <w:r>
        <w:rPr>
          <w:rStyle w:val="44"/>
          <w:rFonts w:hint="default" w:ascii="等线" w:hAnsi="等线" w:eastAsia="等线"/>
          <w:b w:val="0"/>
          <w:sz w:val="28"/>
          <w:szCs w:val="28"/>
        </w:rPr>
        <w:t>　</w:t>
      </w:r>
      <w:r>
        <w:rPr>
          <w:rFonts w:ascii="宋体" w:hAnsi="宋体" w:eastAsia="宋体"/>
          <w:bCs/>
          <w:sz w:val="28"/>
          <w:szCs w:val="28"/>
        </w:rPr>
        <w:t>促进航运业要素集聚。</w:t>
      </w:r>
    </w:p>
    <w:p>
      <w:pPr>
        <w:spacing w:beforeLines="0" w:line="360" w:lineRule="auto"/>
        <w:ind w:firstLine="560"/>
        <w:jc w:val="both"/>
        <w:rPr>
          <w:rFonts w:ascii="宋体" w:hAnsi="宋体" w:eastAsia="宋体"/>
          <w:sz w:val="28"/>
          <w:szCs w:val="28"/>
        </w:rPr>
      </w:pPr>
      <w:r>
        <w:rPr>
          <w:rFonts w:hint="eastAsia" w:ascii="宋体" w:hAnsi="宋体" w:eastAsia="宋体"/>
          <w:sz w:val="28"/>
          <w:szCs w:val="28"/>
        </w:rPr>
        <w:t>（一）从</w:t>
      </w:r>
      <w:r>
        <w:rPr>
          <w:rFonts w:ascii="宋体" w:hAnsi="宋体" w:eastAsia="宋体"/>
          <w:sz w:val="28"/>
          <w:szCs w:val="28"/>
        </w:rPr>
        <w:t>20</w:t>
      </w:r>
      <w:r>
        <w:rPr>
          <w:rFonts w:hint="eastAsia" w:ascii="宋体" w:hAnsi="宋体" w:eastAsia="宋体"/>
          <w:sz w:val="28"/>
          <w:szCs w:val="28"/>
          <w:lang w:val="en-US" w:eastAsia="zh-CN"/>
        </w:rPr>
        <w:t>21</w:t>
      </w:r>
      <w:r>
        <w:rPr>
          <w:rFonts w:ascii="宋体" w:hAnsi="宋体" w:eastAsia="宋体"/>
          <w:sz w:val="28"/>
          <w:szCs w:val="28"/>
        </w:rPr>
        <w:t>年1月1日起在我</w:t>
      </w:r>
      <w:r>
        <w:rPr>
          <w:rFonts w:hint="eastAsia" w:ascii="宋体" w:hAnsi="宋体" w:eastAsia="宋体"/>
          <w:sz w:val="28"/>
          <w:szCs w:val="28"/>
        </w:rPr>
        <w:t>市</w:t>
      </w:r>
      <w:r>
        <w:rPr>
          <w:rFonts w:ascii="宋体" w:hAnsi="宋体" w:eastAsia="宋体"/>
          <w:sz w:val="28"/>
          <w:szCs w:val="28"/>
        </w:rPr>
        <w:t>新注册、实际到位注册资金在1000万元及以上，具备相应的经营资质的船舶融资、海上保险、航运资金结算、航运运价衍生品开发、航交所等主营业务为航运业服务的航运金融服务企业，按照实际到位注册资金的1%给予一次性奖励，每家企业最高奖励金额不超过500万元。</w:t>
      </w:r>
    </w:p>
    <w:p>
      <w:pPr>
        <w:spacing w:beforeLines="0" w:line="360" w:lineRule="auto"/>
        <w:ind w:firstLine="560"/>
        <w:jc w:val="both"/>
        <w:rPr>
          <w:rFonts w:ascii="宋体" w:hAnsi="宋体" w:eastAsia="宋体"/>
          <w:sz w:val="28"/>
          <w:szCs w:val="28"/>
        </w:rPr>
      </w:pPr>
      <w:r>
        <w:rPr>
          <w:rFonts w:hint="eastAsia" w:ascii="宋体" w:hAnsi="宋体" w:eastAsia="宋体"/>
          <w:sz w:val="28"/>
          <w:szCs w:val="28"/>
        </w:rPr>
        <w:t>（二）从</w:t>
      </w:r>
      <w:r>
        <w:rPr>
          <w:rFonts w:ascii="宋体" w:hAnsi="宋体" w:eastAsia="宋体"/>
          <w:sz w:val="28"/>
          <w:szCs w:val="28"/>
        </w:rPr>
        <w:t>20</w:t>
      </w:r>
      <w:r>
        <w:rPr>
          <w:rFonts w:hint="eastAsia" w:ascii="宋体" w:hAnsi="宋体" w:eastAsia="宋体"/>
          <w:sz w:val="28"/>
          <w:szCs w:val="28"/>
          <w:lang w:val="en-US" w:eastAsia="zh-CN"/>
        </w:rPr>
        <w:t>21</w:t>
      </w:r>
      <w:r>
        <w:rPr>
          <w:rFonts w:ascii="宋体" w:hAnsi="宋体" w:eastAsia="宋体"/>
          <w:sz w:val="28"/>
          <w:szCs w:val="28"/>
        </w:rPr>
        <w:t>年1月1日起在我</w:t>
      </w:r>
      <w:r>
        <w:rPr>
          <w:rFonts w:hint="eastAsia" w:ascii="宋体" w:hAnsi="宋体" w:eastAsia="宋体"/>
          <w:sz w:val="28"/>
          <w:szCs w:val="28"/>
        </w:rPr>
        <w:t>市</w:t>
      </w:r>
      <w:r>
        <w:rPr>
          <w:rFonts w:ascii="宋体" w:hAnsi="宋体" w:eastAsia="宋体"/>
          <w:sz w:val="28"/>
          <w:szCs w:val="28"/>
        </w:rPr>
        <w:t>新注册取得经营许可，且主营业务为航运经纪、航运信息、航运咨询、航运人才服务、航运仲裁、船员服务等的航运服务企业，按当年实际到位注册资金的2%给予一次性奖励，每家企业累计奖励总额不超过50万元。</w:t>
      </w:r>
    </w:p>
    <w:p>
      <w:pPr>
        <w:spacing w:beforeLines="0" w:line="360" w:lineRule="auto"/>
        <w:ind w:firstLine="560"/>
        <w:jc w:val="both"/>
        <w:rPr>
          <w:rFonts w:ascii="宋体" w:hAnsi="宋体" w:eastAsia="宋体"/>
          <w:sz w:val="28"/>
          <w:szCs w:val="28"/>
        </w:rPr>
      </w:pPr>
      <w:r>
        <w:rPr>
          <w:rFonts w:hint="eastAsia" w:ascii="宋体" w:hAnsi="宋体" w:eastAsia="宋体"/>
          <w:sz w:val="28"/>
          <w:szCs w:val="28"/>
        </w:rPr>
        <w:t>本条所称的注册资金专指货币出资</w:t>
      </w:r>
      <w:r>
        <w:rPr>
          <w:rFonts w:ascii="宋体" w:hAnsi="宋体" w:eastAsia="宋体"/>
          <w:sz w:val="28"/>
          <w:szCs w:val="28"/>
        </w:rPr>
        <w:t>,不包括其他方式出资</w:t>
      </w:r>
      <w:r>
        <w:rPr>
          <w:rFonts w:hint="eastAsia" w:ascii="宋体" w:hAnsi="宋体" w:eastAsia="宋体"/>
          <w:sz w:val="28"/>
          <w:szCs w:val="28"/>
        </w:rPr>
        <w:t>，且以具有资质的第三方机构出具专项验资报告为准。</w:t>
      </w:r>
    </w:p>
    <w:p>
      <w:pPr>
        <w:spacing w:beforeLines="0" w:line="360" w:lineRule="auto"/>
        <w:ind w:firstLine="560"/>
        <w:jc w:val="both"/>
        <w:rPr>
          <w:sz w:val="28"/>
          <w:szCs w:val="28"/>
        </w:rPr>
      </w:pPr>
      <w:r>
        <w:rPr>
          <w:rStyle w:val="44"/>
          <w:rFonts w:hint="default" w:ascii="等线" w:hAnsi="等线" w:eastAsia="等线"/>
          <w:sz w:val="28"/>
          <w:szCs w:val="28"/>
        </w:rPr>
        <w:t>第十四条</w:t>
      </w:r>
      <w:r>
        <w:rPr>
          <w:rStyle w:val="44"/>
          <w:rFonts w:hint="default" w:ascii="等线" w:hAnsi="等线" w:eastAsia="等线"/>
          <w:b w:val="0"/>
          <w:sz w:val="28"/>
          <w:szCs w:val="28"/>
        </w:rPr>
        <w:t>　</w:t>
      </w:r>
      <w:r>
        <w:rPr>
          <w:rFonts w:hint="eastAsia" w:ascii="宋体" w:hAnsi="宋体" w:eastAsia="宋体"/>
          <w:sz w:val="28"/>
          <w:szCs w:val="28"/>
        </w:rPr>
        <w:t>每年审核发放一次上一年度的补贴奖励资金。</w:t>
      </w:r>
      <w:r>
        <w:rPr>
          <w:rFonts w:ascii="宋体" w:hAnsi="宋体" w:eastAsia="宋体"/>
          <w:bCs/>
          <w:sz w:val="28"/>
          <w:szCs w:val="28"/>
        </w:rPr>
        <w:t>扶持企业的认定和资金拨付，按照下列程序进行：</w:t>
      </w:r>
    </w:p>
    <w:p>
      <w:pPr>
        <w:spacing w:beforeLines="0" w:line="360" w:lineRule="auto"/>
        <w:ind w:firstLine="560"/>
        <w:jc w:val="both"/>
        <w:rPr>
          <w:sz w:val="28"/>
          <w:szCs w:val="28"/>
        </w:rPr>
      </w:pPr>
      <w:r>
        <w:rPr>
          <w:rFonts w:ascii="宋体" w:hAnsi="宋体" w:eastAsia="宋体"/>
          <w:sz w:val="28"/>
          <w:szCs w:val="28"/>
        </w:rPr>
        <w:t>（一）</w:t>
      </w:r>
      <w:r>
        <w:rPr>
          <w:rFonts w:hint="eastAsia" w:ascii="宋体" w:hAnsi="宋体" w:eastAsia="宋体"/>
          <w:sz w:val="28"/>
          <w:szCs w:val="28"/>
        </w:rPr>
        <w:t>市交通港航局每年将航运扶持资金列入年度预算，市财政局做好资金保障工作</w:t>
      </w:r>
      <w:r>
        <w:rPr>
          <w:rFonts w:ascii="宋体" w:hAnsi="宋体" w:eastAsia="宋体"/>
          <w:sz w:val="28"/>
          <w:szCs w:val="28"/>
        </w:rPr>
        <w:t>。</w:t>
      </w:r>
    </w:p>
    <w:p>
      <w:pPr>
        <w:spacing w:beforeLines="0" w:line="360" w:lineRule="auto"/>
        <w:ind w:firstLine="560"/>
        <w:jc w:val="both"/>
        <w:rPr>
          <w:sz w:val="28"/>
          <w:szCs w:val="28"/>
        </w:rPr>
      </w:pPr>
      <w:r>
        <w:rPr>
          <w:rFonts w:ascii="宋体" w:hAnsi="宋体" w:eastAsia="宋体"/>
          <w:sz w:val="28"/>
          <w:szCs w:val="28"/>
        </w:rPr>
        <w:t>（二）企业</w:t>
      </w:r>
      <w:r>
        <w:rPr>
          <w:rFonts w:hint="eastAsia" w:ascii="宋体" w:hAnsi="宋体" w:eastAsia="宋体"/>
          <w:sz w:val="28"/>
          <w:szCs w:val="28"/>
        </w:rPr>
        <w:t>每年</w:t>
      </w:r>
      <w:r>
        <w:rPr>
          <w:rFonts w:ascii="宋体" w:hAnsi="宋体" w:eastAsia="宋体"/>
          <w:sz w:val="28"/>
          <w:szCs w:val="28"/>
        </w:rPr>
        <w:t>1月1日至1月</w:t>
      </w:r>
      <w:r>
        <w:rPr>
          <w:rFonts w:hint="eastAsia" w:ascii="宋体" w:hAnsi="宋体" w:eastAsia="宋体"/>
          <w:sz w:val="28"/>
          <w:szCs w:val="28"/>
        </w:rPr>
        <w:t>3</w:t>
      </w:r>
      <w:r>
        <w:rPr>
          <w:rFonts w:ascii="宋体" w:hAnsi="宋体" w:eastAsia="宋体"/>
          <w:sz w:val="28"/>
          <w:szCs w:val="28"/>
        </w:rPr>
        <w:t>0日向市交通运输和港航行政主管部门递交补贴奖励资金申请，并按要求提供相关资料。</w:t>
      </w:r>
    </w:p>
    <w:p>
      <w:pPr>
        <w:spacing w:beforeLines="0" w:line="360" w:lineRule="auto"/>
        <w:ind w:firstLine="560"/>
        <w:jc w:val="both"/>
        <w:rPr>
          <w:rFonts w:ascii="宋体" w:hAnsi="宋体" w:eastAsia="宋体"/>
          <w:sz w:val="28"/>
          <w:szCs w:val="28"/>
        </w:rPr>
      </w:pPr>
      <w:r>
        <w:rPr>
          <w:rFonts w:ascii="宋体" w:hAnsi="宋体" w:eastAsia="宋体"/>
          <w:sz w:val="28"/>
          <w:szCs w:val="28"/>
        </w:rPr>
        <w:t>（三）市交通运输和港航行政主管部门受理企业申请，核实后，形成补贴奖励方案报市政府审批</w:t>
      </w:r>
      <w:r>
        <w:rPr>
          <w:rFonts w:hint="eastAsia" w:ascii="宋体" w:hAnsi="宋体" w:eastAsia="宋体"/>
          <w:sz w:val="28"/>
          <w:szCs w:val="28"/>
        </w:rPr>
        <w:t>，并按</w:t>
      </w:r>
      <w:r>
        <w:rPr>
          <w:rFonts w:ascii="宋体" w:hAnsi="宋体" w:eastAsia="宋体"/>
          <w:sz w:val="28"/>
          <w:szCs w:val="28"/>
        </w:rPr>
        <w:t>市政府审批意见发放资金。</w:t>
      </w:r>
    </w:p>
    <w:p>
      <w:pPr>
        <w:spacing w:beforeLines="0" w:line="360" w:lineRule="auto"/>
        <w:ind w:firstLine="560"/>
        <w:jc w:val="both"/>
        <w:rPr>
          <w:rFonts w:ascii="宋体" w:hAnsi="宋体" w:eastAsia="宋体"/>
          <w:sz w:val="28"/>
          <w:szCs w:val="28"/>
        </w:rPr>
      </w:pPr>
      <w:r>
        <w:rPr>
          <w:rFonts w:hint="eastAsia" w:ascii="宋体" w:hAnsi="宋体" w:eastAsia="宋体"/>
          <w:sz w:val="28"/>
          <w:szCs w:val="28"/>
        </w:rPr>
        <w:t>（四）</w:t>
      </w:r>
      <w:r>
        <w:rPr>
          <w:rFonts w:ascii="宋体" w:hAnsi="宋体" w:eastAsia="宋体"/>
          <w:sz w:val="28"/>
          <w:szCs w:val="28"/>
        </w:rPr>
        <w:t>市审计行政主管部门对补贴奖励资金进行监督。</w:t>
      </w:r>
    </w:p>
    <w:p>
      <w:pPr>
        <w:spacing w:beforeLines="0" w:line="360" w:lineRule="auto"/>
        <w:ind w:firstLine="560"/>
        <w:jc w:val="both"/>
        <w:rPr>
          <w:rFonts w:ascii="宋体" w:hAnsi="宋体" w:eastAsia="宋体"/>
          <w:sz w:val="28"/>
          <w:szCs w:val="28"/>
        </w:rPr>
      </w:pPr>
      <w:r>
        <w:rPr>
          <w:rFonts w:hint="eastAsia" w:ascii="宋体" w:hAnsi="宋体" w:eastAsia="宋体"/>
          <w:sz w:val="28"/>
          <w:szCs w:val="28"/>
        </w:rPr>
        <w:t>（五）</w:t>
      </w:r>
      <w:r>
        <w:rPr>
          <w:rFonts w:ascii="宋体" w:hAnsi="宋体" w:eastAsia="宋体"/>
          <w:sz w:val="28"/>
          <w:szCs w:val="28"/>
        </w:rPr>
        <w:t>市交通运输和港航行政主管部门</w:t>
      </w:r>
      <w:r>
        <w:rPr>
          <w:rFonts w:hint="eastAsia" w:ascii="宋体" w:hAnsi="宋体" w:eastAsia="宋体"/>
          <w:sz w:val="28"/>
          <w:szCs w:val="28"/>
        </w:rPr>
        <w:t>可对企业注册情况、企业在本地统计开展等情况进行抽查。</w:t>
      </w:r>
    </w:p>
    <w:p>
      <w:pPr>
        <w:spacing w:beforeLines="0" w:line="360" w:lineRule="auto"/>
        <w:ind w:firstLine="560"/>
        <w:jc w:val="both"/>
        <w:rPr>
          <w:rFonts w:ascii="宋体" w:hAnsi="宋体" w:eastAsia="宋体"/>
          <w:sz w:val="28"/>
          <w:szCs w:val="28"/>
        </w:rPr>
      </w:pPr>
      <w:r>
        <w:rPr>
          <w:rStyle w:val="44"/>
          <w:rFonts w:hint="default" w:ascii="等线" w:hAnsi="等线" w:eastAsia="等线"/>
          <w:sz w:val="28"/>
          <w:szCs w:val="28"/>
        </w:rPr>
        <w:t>第十五条</w:t>
      </w:r>
      <w:r>
        <w:rPr>
          <w:rStyle w:val="44"/>
          <w:rFonts w:hint="default" w:ascii="等线" w:hAnsi="等线" w:eastAsia="等线"/>
          <w:b w:val="0"/>
          <w:sz w:val="28"/>
          <w:szCs w:val="28"/>
        </w:rPr>
        <w:t>　</w:t>
      </w:r>
      <w:r>
        <w:rPr>
          <w:rFonts w:hint="eastAsia" w:ascii="宋体" w:hAnsi="宋体" w:eastAsia="宋体"/>
          <w:sz w:val="28"/>
          <w:szCs w:val="28"/>
        </w:rPr>
        <w:t>除注明为其他币种外，本办法提到的货币单位，均以人民币计算。涉及“达到” “以上” “不少于” “不超过”的数额均含本数。在政策执行中，如涉及外币与人民币计价的，按在奖励金审核当天中国人民银行的外汇牌价计算。</w:t>
      </w:r>
    </w:p>
    <w:p>
      <w:pPr>
        <w:spacing w:beforeLines="0" w:line="360" w:lineRule="auto"/>
        <w:ind w:firstLine="560"/>
        <w:jc w:val="both"/>
        <w:rPr>
          <w:rFonts w:ascii="宋体" w:hAnsi="宋体" w:eastAsia="宋体"/>
          <w:sz w:val="28"/>
          <w:szCs w:val="28"/>
        </w:rPr>
      </w:pPr>
      <w:r>
        <w:rPr>
          <w:rStyle w:val="44"/>
          <w:rFonts w:hint="default" w:ascii="等线" w:hAnsi="等线" w:eastAsia="等线"/>
          <w:sz w:val="28"/>
          <w:szCs w:val="28"/>
        </w:rPr>
        <w:t>第十六条</w:t>
      </w:r>
      <w:r>
        <w:rPr>
          <w:rStyle w:val="44"/>
          <w:rFonts w:hint="default" w:ascii="等线" w:hAnsi="等线" w:eastAsia="等线"/>
          <w:b w:val="0"/>
          <w:sz w:val="28"/>
          <w:szCs w:val="28"/>
        </w:rPr>
        <w:t>　</w:t>
      </w:r>
      <w:r>
        <w:rPr>
          <w:rFonts w:ascii="宋体" w:hAnsi="宋体" w:eastAsia="宋体"/>
          <w:sz w:val="28"/>
          <w:szCs w:val="28"/>
        </w:rPr>
        <w:t>航运企业申请本办法补贴奖励资金，如与</w:t>
      </w:r>
      <w:r>
        <w:rPr>
          <w:rFonts w:hint="eastAsia" w:ascii="宋体" w:hAnsi="宋体" w:eastAsia="宋体"/>
          <w:sz w:val="28"/>
          <w:szCs w:val="28"/>
        </w:rPr>
        <w:t>海南省或</w:t>
      </w:r>
      <w:r>
        <w:rPr>
          <w:rFonts w:ascii="宋体" w:hAnsi="宋体" w:eastAsia="宋体"/>
          <w:sz w:val="28"/>
          <w:szCs w:val="28"/>
        </w:rPr>
        <w:t>海口市其他政策属同类型的，企业可自行选择其中一种，不重复享受。</w:t>
      </w:r>
    </w:p>
    <w:p>
      <w:pPr>
        <w:spacing w:beforeLines="0" w:line="360" w:lineRule="auto"/>
        <w:ind w:firstLine="560"/>
        <w:jc w:val="both"/>
        <w:rPr>
          <w:rFonts w:ascii="宋体" w:hAnsi="宋体" w:eastAsia="宋体"/>
          <w:sz w:val="28"/>
          <w:szCs w:val="28"/>
        </w:rPr>
      </w:pPr>
      <w:r>
        <w:rPr>
          <w:rStyle w:val="44"/>
          <w:rFonts w:hint="default" w:ascii="等线" w:hAnsi="等线" w:eastAsia="等线"/>
          <w:sz w:val="28"/>
          <w:szCs w:val="28"/>
        </w:rPr>
        <w:t xml:space="preserve">第十七条  </w:t>
      </w:r>
      <w:r>
        <w:rPr>
          <w:rFonts w:hint="eastAsia" w:ascii="宋体" w:hAnsi="宋体" w:eastAsia="宋体"/>
          <w:sz w:val="28"/>
          <w:szCs w:val="28"/>
        </w:rPr>
        <w:t>企业或机构伪造相关证明、违反财经纪律，虚报、冒领、截留、挪用、挤占扶持资金的行为，依照有关法律、法规追究相关责任人的责任。对弄虚作假套取奖励补贴资金的企业或机构，一经查实，追回上年度的奖励资金，3年内不再受理其扶持申请</w:t>
      </w:r>
      <w:r>
        <w:rPr>
          <w:rFonts w:hint="eastAsia" w:ascii="宋体" w:hAnsi="宋体" w:eastAsia="宋体"/>
          <w:color w:val="auto"/>
          <w:sz w:val="28"/>
          <w:szCs w:val="28"/>
        </w:rPr>
        <w:t>，</w:t>
      </w:r>
      <w:r>
        <w:rPr>
          <w:rFonts w:hint="eastAsia" w:ascii="宋体" w:hAnsi="宋体" w:eastAsia="宋体"/>
          <w:sz w:val="28"/>
          <w:szCs w:val="28"/>
        </w:rPr>
        <w:t>造成资金损失的，依法追究法律责任。</w:t>
      </w:r>
    </w:p>
    <w:p>
      <w:pPr>
        <w:spacing w:beforeLines="0" w:line="360" w:lineRule="auto"/>
        <w:ind w:firstLine="560"/>
        <w:jc w:val="both"/>
        <w:rPr>
          <w:rFonts w:ascii="宋体" w:hAnsi="宋体" w:eastAsia="宋体"/>
          <w:sz w:val="28"/>
          <w:szCs w:val="28"/>
        </w:rPr>
      </w:pPr>
      <w:r>
        <w:rPr>
          <w:rStyle w:val="44"/>
          <w:rFonts w:hint="default" w:ascii="等线" w:hAnsi="等线" w:eastAsia="等线"/>
          <w:sz w:val="28"/>
          <w:szCs w:val="28"/>
        </w:rPr>
        <w:t xml:space="preserve">第十八条  </w:t>
      </w:r>
      <w:r>
        <w:rPr>
          <w:rFonts w:ascii="宋体" w:hAnsi="宋体" w:eastAsia="宋体"/>
          <w:sz w:val="28"/>
          <w:szCs w:val="28"/>
        </w:rPr>
        <w:t>本办法具体应用中的问题由</w:t>
      </w:r>
      <w:r>
        <w:rPr>
          <w:rFonts w:ascii="宋体" w:hAnsi="宋体" w:eastAsia="宋体"/>
          <w:bCs/>
          <w:sz w:val="28"/>
          <w:szCs w:val="28"/>
        </w:rPr>
        <w:t>海口市</w:t>
      </w:r>
      <w:r>
        <w:rPr>
          <w:rFonts w:hint="eastAsia" w:ascii="宋体" w:hAnsi="宋体" w:eastAsia="宋体"/>
          <w:bCs/>
          <w:sz w:val="28"/>
          <w:szCs w:val="28"/>
        </w:rPr>
        <w:t>人民政府</w:t>
      </w:r>
      <w:r>
        <w:rPr>
          <w:rFonts w:ascii="宋体" w:hAnsi="宋体" w:eastAsia="宋体"/>
          <w:sz w:val="28"/>
          <w:szCs w:val="28"/>
        </w:rPr>
        <w:t>负责解释。</w:t>
      </w:r>
    </w:p>
    <w:p>
      <w:pPr>
        <w:spacing w:beforeLines="0" w:line="360" w:lineRule="auto"/>
        <w:ind w:firstLine="560"/>
        <w:jc w:val="both"/>
        <w:rPr>
          <w:rFonts w:ascii="宋体" w:hAnsi="宋体" w:eastAsia="宋体"/>
          <w:color w:val="auto"/>
          <w:sz w:val="28"/>
          <w:szCs w:val="28"/>
        </w:rPr>
      </w:pPr>
      <w:r>
        <w:rPr>
          <w:rStyle w:val="44"/>
          <w:rFonts w:hint="default" w:ascii="等线" w:hAnsi="等线" w:eastAsia="等线"/>
          <w:sz w:val="28"/>
          <w:szCs w:val="28"/>
        </w:rPr>
        <w:t>第十九条</w:t>
      </w:r>
      <w:r>
        <w:rPr>
          <w:rStyle w:val="44"/>
          <w:rFonts w:hint="default" w:ascii="等线" w:hAnsi="等线" w:eastAsia="等线"/>
          <w:b w:val="0"/>
          <w:sz w:val="28"/>
          <w:szCs w:val="28"/>
        </w:rPr>
        <w:t>　</w:t>
      </w:r>
      <w:r>
        <w:rPr>
          <w:rFonts w:hint="default" w:ascii="宋体" w:hAnsi="宋体" w:eastAsia="宋体"/>
          <w:sz w:val="28"/>
          <w:szCs w:val="28"/>
        </w:rPr>
        <w:t>本办法自 2021年×月×日起施行，有效期为3个自然年度。为保持政策延续性，2021年度的补贴按本次修订办法执行。2019年7月26日实施的《海口市人民政府关于印发&lt;海口市促进航运业稳定发展办法&gt;的通知》(海府规〔2019〕2号)同时废止。</w:t>
      </w:r>
    </w:p>
    <w:sectPr>
      <w:footerReference r:id="rId7" w:type="first"/>
      <w:footerReference r:id="rId5" w:type="default"/>
      <w:footerReference r:id="rId6" w:type="even"/>
      <w:pgSz w:w="11900" w:h="16840"/>
      <w:pgMar w:top="1440" w:right="1080" w:bottom="1440" w:left="1080" w:header="850" w:footer="992" w:gutter="0"/>
      <w:pgNumType w:start="1"/>
      <w:cols w:space="425" w:num="1"/>
      <w:docGrid w:type="lines" w:linePitch="423"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420"/>
      </w:pPr>
      <w:r>
        <w:separator/>
      </w:r>
    </w:p>
  </w:endnote>
  <w:endnote w:type="continuationSeparator" w:id="1">
    <w:p>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宋体-简">
    <w:altName w:val="等线"/>
    <w:panose1 w:val="00000000000000000000"/>
    <w:charset w:val="86"/>
    <w:family w:val="auto"/>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spacing w:before="120"/>
      <w:ind w:firstLine="360"/>
      <w:jc w:val="center"/>
    </w:pPr>
    <w:r>
      <w:rPr>
        <w:rStyle w:val="26"/>
      </w:rPr>
      <w:fldChar w:fldCharType="begin"/>
    </w:r>
    <w:r>
      <w:rPr>
        <w:rStyle w:val="26"/>
      </w:rPr>
      <w:instrText xml:space="preserve">PAGE  </w:instrText>
    </w:r>
    <w:r>
      <w:rPr>
        <w:rStyle w:val="26"/>
      </w:rPr>
      <w:fldChar w:fldCharType="separate"/>
    </w:r>
    <w:r>
      <w:rPr>
        <w:rStyle w:val="26"/>
      </w:rPr>
      <w:t>7</w:t>
    </w:r>
    <w:r>
      <w:rPr>
        <w:rStyle w:val="2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spacing w:before="120"/>
      <w:ind w:firstLine="360"/>
      <w:rPr>
        <w:rStyle w:val="26"/>
      </w:rPr>
    </w:pPr>
    <w:r>
      <w:rPr>
        <w:rStyle w:val="26"/>
      </w:rPr>
      <w:fldChar w:fldCharType="begin"/>
    </w:r>
    <w:r>
      <w:rPr>
        <w:rStyle w:val="26"/>
      </w:rPr>
      <w:instrText xml:space="preserve">PAGE  </w:instrText>
    </w:r>
    <w:r>
      <w:rPr>
        <w:rStyle w:val="26"/>
      </w:rPr>
      <w:fldChar w:fldCharType="end"/>
    </w:r>
  </w:p>
  <w:p>
    <w:pPr>
      <w:pStyle w:val="12"/>
      <w:spacing w:before="120"/>
      <w:ind w:firstLine="360"/>
      <w:rPr>
        <w:rStyle w:val="26"/>
      </w:rPr>
    </w:pPr>
    <w:r>
      <w:rPr>
        <w:rStyle w:val="26"/>
      </w:rPr>
      <w:fldChar w:fldCharType="begin"/>
    </w:r>
    <w:r>
      <w:rPr>
        <w:rStyle w:val="26"/>
      </w:rPr>
      <w:instrText xml:space="preserve">PAGE  </w:instrText>
    </w:r>
    <w:r>
      <w:rPr>
        <w:rStyle w:val="26"/>
      </w:rPr>
      <w:fldChar w:fldCharType="end"/>
    </w:r>
  </w:p>
  <w:p>
    <w:pPr>
      <w:pStyle w:val="12"/>
      <w:spacing w:before="120"/>
      <w:ind w:firstLine="360"/>
    </w:pPr>
  </w:p>
  <w:p>
    <w:pPr>
      <w:spacing w:before="120"/>
      <w:ind w:firstLine="4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spacing w:before="120"/>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ind w:firstLine="420"/>
      </w:pPr>
      <w:r>
        <w:separator/>
      </w:r>
    </w:p>
  </w:footnote>
  <w:footnote w:type="continuationSeparator" w:id="1">
    <w:p>
      <w:pPr>
        <w:spacing w:before="0" w:after="0"/>
        <w:ind w:firstLine="42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20"/>
  <w:drawingGridVerticalSpacing w:val="423"/>
  <w:displayHorizontalDrawingGridEvery w:val="0"/>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jdlMzhjNzE5MjQ2YzE5MDc1MmExMDU4ZGZmZmY0ZjMifQ=="/>
  </w:docVars>
  <w:rsids>
    <w:rsidRoot w:val="0058105E"/>
    <w:rsid w:val="0001095E"/>
    <w:rsid w:val="00011E08"/>
    <w:rsid w:val="0001455A"/>
    <w:rsid w:val="00014794"/>
    <w:rsid w:val="00016360"/>
    <w:rsid w:val="00023379"/>
    <w:rsid w:val="00023491"/>
    <w:rsid w:val="00024C1A"/>
    <w:rsid w:val="00046B08"/>
    <w:rsid w:val="00053423"/>
    <w:rsid w:val="00054C1B"/>
    <w:rsid w:val="00055661"/>
    <w:rsid w:val="000703B6"/>
    <w:rsid w:val="00074A5A"/>
    <w:rsid w:val="0007524D"/>
    <w:rsid w:val="000810B4"/>
    <w:rsid w:val="000838AC"/>
    <w:rsid w:val="000B18BB"/>
    <w:rsid w:val="000B32A2"/>
    <w:rsid w:val="000B4268"/>
    <w:rsid w:val="000B4830"/>
    <w:rsid w:val="000C10B9"/>
    <w:rsid w:val="000D4C86"/>
    <w:rsid w:val="000E0518"/>
    <w:rsid w:val="000E68E8"/>
    <w:rsid w:val="0010142F"/>
    <w:rsid w:val="001156D2"/>
    <w:rsid w:val="00126188"/>
    <w:rsid w:val="0013312C"/>
    <w:rsid w:val="00133EBA"/>
    <w:rsid w:val="001447EF"/>
    <w:rsid w:val="001463B7"/>
    <w:rsid w:val="00153756"/>
    <w:rsid w:val="00155379"/>
    <w:rsid w:val="00155E78"/>
    <w:rsid w:val="001608E1"/>
    <w:rsid w:val="00165950"/>
    <w:rsid w:val="0017262F"/>
    <w:rsid w:val="00180D72"/>
    <w:rsid w:val="00182C03"/>
    <w:rsid w:val="00186C4B"/>
    <w:rsid w:val="00190F60"/>
    <w:rsid w:val="00191D9F"/>
    <w:rsid w:val="0019779C"/>
    <w:rsid w:val="001A42BB"/>
    <w:rsid w:val="001B24CE"/>
    <w:rsid w:val="001B2E08"/>
    <w:rsid w:val="001D0531"/>
    <w:rsid w:val="001D0DAF"/>
    <w:rsid w:val="001D686D"/>
    <w:rsid w:val="001D6F7C"/>
    <w:rsid w:val="001E58ED"/>
    <w:rsid w:val="001F0560"/>
    <w:rsid w:val="002154F2"/>
    <w:rsid w:val="00224525"/>
    <w:rsid w:val="0022600D"/>
    <w:rsid w:val="00232320"/>
    <w:rsid w:val="00235BA2"/>
    <w:rsid w:val="00245012"/>
    <w:rsid w:val="00253240"/>
    <w:rsid w:val="0025731E"/>
    <w:rsid w:val="00264BB7"/>
    <w:rsid w:val="00270510"/>
    <w:rsid w:val="00270DD6"/>
    <w:rsid w:val="002714BD"/>
    <w:rsid w:val="002746AC"/>
    <w:rsid w:val="00297BA0"/>
    <w:rsid w:val="002A2902"/>
    <w:rsid w:val="002A3815"/>
    <w:rsid w:val="002A5520"/>
    <w:rsid w:val="002C08AE"/>
    <w:rsid w:val="002C0974"/>
    <w:rsid w:val="002C39FF"/>
    <w:rsid w:val="002C53FF"/>
    <w:rsid w:val="002D5D85"/>
    <w:rsid w:val="002D6679"/>
    <w:rsid w:val="002E0F90"/>
    <w:rsid w:val="002E5494"/>
    <w:rsid w:val="002F167B"/>
    <w:rsid w:val="002F7542"/>
    <w:rsid w:val="00301690"/>
    <w:rsid w:val="003153DA"/>
    <w:rsid w:val="00315774"/>
    <w:rsid w:val="00317528"/>
    <w:rsid w:val="00317F5B"/>
    <w:rsid w:val="00321DEA"/>
    <w:rsid w:val="003309EA"/>
    <w:rsid w:val="00332AD1"/>
    <w:rsid w:val="00333BCD"/>
    <w:rsid w:val="003458E8"/>
    <w:rsid w:val="00347AFE"/>
    <w:rsid w:val="0035094F"/>
    <w:rsid w:val="00357CE9"/>
    <w:rsid w:val="00362389"/>
    <w:rsid w:val="00362CDC"/>
    <w:rsid w:val="00365C3F"/>
    <w:rsid w:val="00374CB2"/>
    <w:rsid w:val="00376810"/>
    <w:rsid w:val="00381604"/>
    <w:rsid w:val="00383B57"/>
    <w:rsid w:val="00386956"/>
    <w:rsid w:val="003A1DAE"/>
    <w:rsid w:val="003A2BE4"/>
    <w:rsid w:val="003B262C"/>
    <w:rsid w:val="003B4437"/>
    <w:rsid w:val="003C10FA"/>
    <w:rsid w:val="003D3437"/>
    <w:rsid w:val="003D5198"/>
    <w:rsid w:val="003D559A"/>
    <w:rsid w:val="003E0742"/>
    <w:rsid w:val="003E44E3"/>
    <w:rsid w:val="003E5582"/>
    <w:rsid w:val="003E5C64"/>
    <w:rsid w:val="003F7DB5"/>
    <w:rsid w:val="00401D21"/>
    <w:rsid w:val="004045E1"/>
    <w:rsid w:val="00405BE7"/>
    <w:rsid w:val="00406005"/>
    <w:rsid w:val="00406A7C"/>
    <w:rsid w:val="00413553"/>
    <w:rsid w:val="00421888"/>
    <w:rsid w:val="00427AD1"/>
    <w:rsid w:val="00445718"/>
    <w:rsid w:val="00446D77"/>
    <w:rsid w:val="00467D9B"/>
    <w:rsid w:val="0047306A"/>
    <w:rsid w:val="00475DC8"/>
    <w:rsid w:val="00477DE4"/>
    <w:rsid w:val="00485AC9"/>
    <w:rsid w:val="004944E8"/>
    <w:rsid w:val="004A0FF3"/>
    <w:rsid w:val="004B4872"/>
    <w:rsid w:val="004D31E1"/>
    <w:rsid w:val="004D7BFE"/>
    <w:rsid w:val="004F13D2"/>
    <w:rsid w:val="0050214D"/>
    <w:rsid w:val="0050753C"/>
    <w:rsid w:val="00514081"/>
    <w:rsid w:val="00523C66"/>
    <w:rsid w:val="00525708"/>
    <w:rsid w:val="00531E15"/>
    <w:rsid w:val="00545797"/>
    <w:rsid w:val="0055007B"/>
    <w:rsid w:val="0055120D"/>
    <w:rsid w:val="00551D55"/>
    <w:rsid w:val="0055300C"/>
    <w:rsid w:val="0055454B"/>
    <w:rsid w:val="00572481"/>
    <w:rsid w:val="0058105E"/>
    <w:rsid w:val="00581CC2"/>
    <w:rsid w:val="00586742"/>
    <w:rsid w:val="00595D7D"/>
    <w:rsid w:val="005A18C9"/>
    <w:rsid w:val="005A33D8"/>
    <w:rsid w:val="005A545E"/>
    <w:rsid w:val="005B11A9"/>
    <w:rsid w:val="005C59AD"/>
    <w:rsid w:val="005D2A44"/>
    <w:rsid w:val="005D6387"/>
    <w:rsid w:val="005E1E7E"/>
    <w:rsid w:val="005E4537"/>
    <w:rsid w:val="005E6BD4"/>
    <w:rsid w:val="005E6D11"/>
    <w:rsid w:val="005F302E"/>
    <w:rsid w:val="005F668C"/>
    <w:rsid w:val="006139D1"/>
    <w:rsid w:val="00632E88"/>
    <w:rsid w:val="00635A3A"/>
    <w:rsid w:val="00645499"/>
    <w:rsid w:val="00647249"/>
    <w:rsid w:val="00660913"/>
    <w:rsid w:val="006615D2"/>
    <w:rsid w:val="00661D6F"/>
    <w:rsid w:val="0067413F"/>
    <w:rsid w:val="00674271"/>
    <w:rsid w:val="00681022"/>
    <w:rsid w:val="00686367"/>
    <w:rsid w:val="006864EA"/>
    <w:rsid w:val="00687F70"/>
    <w:rsid w:val="0069459A"/>
    <w:rsid w:val="00695BBA"/>
    <w:rsid w:val="00695EBF"/>
    <w:rsid w:val="006A1F44"/>
    <w:rsid w:val="006B00DA"/>
    <w:rsid w:val="006B4B40"/>
    <w:rsid w:val="006C1E70"/>
    <w:rsid w:val="006C2B57"/>
    <w:rsid w:val="006C2F31"/>
    <w:rsid w:val="006C3857"/>
    <w:rsid w:val="006C68A4"/>
    <w:rsid w:val="006D12D0"/>
    <w:rsid w:val="006D629B"/>
    <w:rsid w:val="006E35E6"/>
    <w:rsid w:val="006E374D"/>
    <w:rsid w:val="00701E2A"/>
    <w:rsid w:val="007113F0"/>
    <w:rsid w:val="0071172E"/>
    <w:rsid w:val="007134C7"/>
    <w:rsid w:val="007152CD"/>
    <w:rsid w:val="007462C7"/>
    <w:rsid w:val="00751ACC"/>
    <w:rsid w:val="00762164"/>
    <w:rsid w:val="00766565"/>
    <w:rsid w:val="007667DF"/>
    <w:rsid w:val="007729AE"/>
    <w:rsid w:val="007756F7"/>
    <w:rsid w:val="00790272"/>
    <w:rsid w:val="007902D8"/>
    <w:rsid w:val="007911E7"/>
    <w:rsid w:val="00791FE7"/>
    <w:rsid w:val="00794C21"/>
    <w:rsid w:val="00795B25"/>
    <w:rsid w:val="00795EF7"/>
    <w:rsid w:val="007960F1"/>
    <w:rsid w:val="007A21E7"/>
    <w:rsid w:val="007B2F88"/>
    <w:rsid w:val="007B46AD"/>
    <w:rsid w:val="007E7AD8"/>
    <w:rsid w:val="007F3E1F"/>
    <w:rsid w:val="007F7F4A"/>
    <w:rsid w:val="00803ECF"/>
    <w:rsid w:val="008051E9"/>
    <w:rsid w:val="00805D1F"/>
    <w:rsid w:val="008157A1"/>
    <w:rsid w:val="00822B01"/>
    <w:rsid w:val="008273C5"/>
    <w:rsid w:val="00841E42"/>
    <w:rsid w:val="008460F3"/>
    <w:rsid w:val="00846EED"/>
    <w:rsid w:val="00857525"/>
    <w:rsid w:val="008770F6"/>
    <w:rsid w:val="008812C6"/>
    <w:rsid w:val="00883795"/>
    <w:rsid w:val="008929C2"/>
    <w:rsid w:val="00894A8F"/>
    <w:rsid w:val="00896A12"/>
    <w:rsid w:val="008A0D66"/>
    <w:rsid w:val="008A27E0"/>
    <w:rsid w:val="008A3F68"/>
    <w:rsid w:val="008A4A82"/>
    <w:rsid w:val="008B30B1"/>
    <w:rsid w:val="008C1FBD"/>
    <w:rsid w:val="008C2377"/>
    <w:rsid w:val="008C3241"/>
    <w:rsid w:val="008C63B5"/>
    <w:rsid w:val="008C79B1"/>
    <w:rsid w:val="008D3104"/>
    <w:rsid w:val="008D3D6E"/>
    <w:rsid w:val="008D6BAD"/>
    <w:rsid w:val="008E0A2F"/>
    <w:rsid w:val="008E1133"/>
    <w:rsid w:val="008E22F9"/>
    <w:rsid w:val="008E2681"/>
    <w:rsid w:val="008F54D2"/>
    <w:rsid w:val="008F7C89"/>
    <w:rsid w:val="00911F3F"/>
    <w:rsid w:val="009121D8"/>
    <w:rsid w:val="00914E59"/>
    <w:rsid w:val="00923CFF"/>
    <w:rsid w:val="009260CB"/>
    <w:rsid w:val="0092725B"/>
    <w:rsid w:val="00937C8F"/>
    <w:rsid w:val="00950CBB"/>
    <w:rsid w:val="00963F94"/>
    <w:rsid w:val="00966E87"/>
    <w:rsid w:val="00973F8A"/>
    <w:rsid w:val="00974C39"/>
    <w:rsid w:val="00983AF9"/>
    <w:rsid w:val="009902F4"/>
    <w:rsid w:val="0099379D"/>
    <w:rsid w:val="00996B3F"/>
    <w:rsid w:val="009B1DC0"/>
    <w:rsid w:val="009C11AD"/>
    <w:rsid w:val="009C1D59"/>
    <w:rsid w:val="009C4F01"/>
    <w:rsid w:val="009D0CB2"/>
    <w:rsid w:val="009D126A"/>
    <w:rsid w:val="009D4E1B"/>
    <w:rsid w:val="009D5A30"/>
    <w:rsid w:val="009D7F36"/>
    <w:rsid w:val="009E3486"/>
    <w:rsid w:val="009E38BC"/>
    <w:rsid w:val="009E5D5A"/>
    <w:rsid w:val="009E6862"/>
    <w:rsid w:val="009E6A76"/>
    <w:rsid w:val="009E7109"/>
    <w:rsid w:val="009F0946"/>
    <w:rsid w:val="009F15D3"/>
    <w:rsid w:val="009F1EAF"/>
    <w:rsid w:val="009F7901"/>
    <w:rsid w:val="00A00D3B"/>
    <w:rsid w:val="00A04389"/>
    <w:rsid w:val="00A07EE7"/>
    <w:rsid w:val="00A23C07"/>
    <w:rsid w:val="00A32A1E"/>
    <w:rsid w:val="00A36D53"/>
    <w:rsid w:val="00A37C3A"/>
    <w:rsid w:val="00A5028A"/>
    <w:rsid w:val="00A5155E"/>
    <w:rsid w:val="00A55B7B"/>
    <w:rsid w:val="00A6261D"/>
    <w:rsid w:val="00A6271E"/>
    <w:rsid w:val="00A67A2B"/>
    <w:rsid w:val="00A72F54"/>
    <w:rsid w:val="00A7486C"/>
    <w:rsid w:val="00A75184"/>
    <w:rsid w:val="00A7683F"/>
    <w:rsid w:val="00A82018"/>
    <w:rsid w:val="00A83B54"/>
    <w:rsid w:val="00A93A88"/>
    <w:rsid w:val="00A94E72"/>
    <w:rsid w:val="00AA4A82"/>
    <w:rsid w:val="00AA5E7F"/>
    <w:rsid w:val="00AA5EEC"/>
    <w:rsid w:val="00AB2957"/>
    <w:rsid w:val="00AB6D35"/>
    <w:rsid w:val="00AC4A04"/>
    <w:rsid w:val="00AD1F4F"/>
    <w:rsid w:val="00AD26EB"/>
    <w:rsid w:val="00AD29DF"/>
    <w:rsid w:val="00AE7110"/>
    <w:rsid w:val="00AF2439"/>
    <w:rsid w:val="00AF4A99"/>
    <w:rsid w:val="00B02340"/>
    <w:rsid w:val="00B02D8E"/>
    <w:rsid w:val="00B12A51"/>
    <w:rsid w:val="00B201FA"/>
    <w:rsid w:val="00B22CD4"/>
    <w:rsid w:val="00B26EB6"/>
    <w:rsid w:val="00B33D8B"/>
    <w:rsid w:val="00B3440C"/>
    <w:rsid w:val="00B36004"/>
    <w:rsid w:val="00B42D0D"/>
    <w:rsid w:val="00B45CD8"/>
    <w:rsid w:val="00B45E2C"/>
    <w:rsid w:val="00B532A8"/>
    <w:rsid w:val="00B5683C"/>
    <w:rsid w:val="00B63324"/>
    <w:rsid w:val="00B648E7"/>
    <w:rsid w:val="00B710FB"/>
    <w:rsid w:val="00B72EE2"/>
    <w:rsid w:val="00B764DB"/>
    <w:rsid w:val="00B8279B"/>
    <w:rsid w:val="00B94875"/>
    <w:rsid w:val="00BA40E8"/>
    <w:rsid w:val="00BB02DD"/>
    <w:rsid w:val="00BB260D"/>
    <w:rsid w:val="00BB56F9"/>
    <w:rsid w:val="00BB6121"/>
    <w:rsid w:val="00BC5700"/>
    <w:rsid w:val="00BD2CCB"/>
    <w:rsid w:val="00BD54C9"/>
    <w:rsid w:val="00BE1F95"/>
    <w:rsid w:val="00BE2026"/>
    <w:rsid w:val="00BE618D"/>
    <w:rsid w:val="00BF234A"/>
    <w:rsid w:val="00BF4C71"/>
    <w:rsid w:val="00BF4FA3"/>
    <w:rsid w:val="00C14D85"/>
    <w:rsid w:val="00C1523D"/>
    <w:rsid w:val="00C27571"/>
    <w:rsid w:val="00C314F2"/>
    <w:rsid w:val="00C356B3"/>
    <w:rsid w:val="00C376CF"/>
    <w:rsid w:val="00C40BA1"/>
    <w:rsid w:val="00C42AF9"/>
    <w:rsid w:val="00C468EA"/>
    <w:rsid w:val="00C50B2D"/>
    <w:rsid w:val="00C55944"/>
    <w:rsid w:val="00C56C07"/>
    <w:rsid w:val="00C70611"/>
    <w:rsid w:val="00C73BC8"/>
    <w:rsid w:val="00C91416"/>
    <w:rsid w:val="00C96914"/>
    <w:rsid w:val="00C97309"/>
    <w:rsid w:val="00CA2052"/>
    <w:rsid w:val="00CB0C3C"/>
    <w:rsid w:val="00CB624F"/>
    <w:rsid w:val="00CB7EA7"/>
    <w:rsid w:val="00CC410E"/>
    <w:rsid w:val="00CC602B"/>
    <w:rsid w:val="00CD730F"/>
    <w:rsid w:val="00CD77D2"/>
    <w:rsid w:val="00CE0F32"/>
    <w:rsid w:val="00CE4D13"/>
    <w:rsid w:val="00CF2EDD"/>
    <w:rsid w:val="00D11826"/>
    <w:rsid w:val="00D11FA0"/>
    <w:rsid w:val="00D21CC8"/>
    <w:rsid w:val="00D25ACD"/>
    <w:rsid w:val="00D27368"/>
    <w:rsid w:val="00D31755"/>
    <w:rsid w:val="00D33625"/>
    <w:rsid w:val="00D34A60"/>
    <w:rsid w:val="00D350CF"/>
    <w:rsid w:val="00D4153C"/>
    <w:rsid w:val="00D42329"/>
    <w:rsid w:val="00D429FF"/>
    <w:rsid w:val="00D47C3F"/>
    <w:rsid w:val="00D535CF"/>
    <w:rsid w:val="00D5605B"/>
    <w:rsid w:val="00D707CE"/>
    <w:rsid w:val="00D83979"/>
    <w:rsid w:val="00D87B1D"/>
    <w:rsid w:val="00D939AA"/>
    <w:rsid w:val="00D9483C"/>
    <w:rsid w:val="00DB0A8E"/>
    <w:rsid w:val="00DB3F75"/>
    <w:rsid w:val="00DB53AB"/>
    <w:rsid w:val="00DD4082"/>
    <w:rsid w:val="00DD4724"/>
    <w:rsid w:val="00DD67D0"/>
    <w:rsid w:val="00DD6EBA"/>
    <w:rsid w:val="00DE06B3"/>
    <w:rsid w:val="00DE17E6"/>
    <w:rsid w:val="00DF4DDE"/>
    <w:rsid w:val="00DF5DD3"/>
    <w:rsid w:val="00E07A1C"/>
    <w:rsid w:val="00E1638E"/>
    <w:rsid w:val="00E16E7C"/>
    <w:rsid w:val="00E20705"/>
    <w:rsid w:val="00E22CC0"/>
    <w:rsid w:val="00E315DC"/>
    <w:rsid w:val="00E34D59"/>
    <w:rsid w:val="00E367EF"/>
    <w:rsid w:val="00E4508E"/>
    <w:rsid w:val="00E454CC"/>
    <w:rsid w:val="00E46D4B"/>
    <w:rsid w:val="00E519E7"/>
    <w:rsid w:val="00E62A39"/>
    <w:rsid w:val="00E6789D"/>
    <w:rsid w:val="00E709D0"/>
    <w:rsid w:val="00E82C09"/>
    <w:rsid w:val="00E863AA"/>
    <w:rsid w:val="00E91848"/>
    <w:rsid w:val="00E9315A"/>
    <w:rsid w:val="00E93A39"/>
    <w:rsid w:val="00E93E4A"/>
    <w:rsid w:val="00EA2A1D"/>
    <w:rsid w:val="00EA30A0"/>
    <w:rsid w:val="00EB475B"/>
    <w:rsid w:val="00ED2D5D"/>
    <w:rsid w:val="00EE2355"/>
    <w:rsid w:val="00EF0FE4"/>
    <w:rsid w:val="00F05D2A"/>
    <w:rsid w:val="00F06790"/>
    <w:rsid w:val="00F07C98"/>
    <w:rsid w:val="00F109A2"/>
    <w:rsid w:val="00F15993"/>
    <w:rsid w:val="00F32D9B"/>
    <w:rsid w:val="00F42084"/>
    <w:rsid w:val="00F47B0B"/>
    <w:rsid w:val="00F50BFC"/>
    <w:rsid w:val="00F5408C"/>
    <w:rsid w:val="00F6069B"/>
    <w:rsid w:val="00F63D38"/>
    <w:rsid w:val="00F6559B"/>
    <w:rsid w:val="00F7708C"/>
    <w:rsid w:val="00F90F96"/>
    <w:rsid w:val="00F91D76"/>
    <w:rsid w:val="00F93C67"/>
    <w:rsid w:val="00F95A4F"/>
    <w:rsid w:val="00FA04AF"/>
    <w:rsid w:val="00FA49DB"/>
    <w:rsid w:val="00FB5288"/>
    <w:rsid w:val="00FB5302"/>
    <w:rsid w:val="00FC0E2E"/>
    <w:rsid w:val="00FC4096"/>
    <w:rsid w:val="00FD2CD5"/>
    <w:rsid w:val="00FD7099"/>
    <w:rsid w:val="00FE04B3"/>
    <w:rsid w:val="00FE1BFB"/>
    <w:rsid w:val="00FE5686"/>
    <w:rsid w:val="00FE6057"/>
    <w:rsid w:val="00FF314B"/>
    <w:rsid w:val="00FF68A3"/>
    <w:rsid w:val="02682EB1"/>
    <w:rsid w:val="02E44C35"/>
    <w:rsid w:val="0BC644BA"/>
    <w:rsid w:val="12F95A9C"/>
    <w:rsid w:val="14C72E18"/>
    <w:rsid w:val="175C42E4"/>
    <w:rsid w:val="1AA73730"/>
    <w:rsid w:val="1C6448E5"/>
    <w:rsid w:val="1CF87077"/>
    <w:rsid w:val="1E4E4F3F"/>
    <w:rsid w:val="29811EBD"/>
    <w:rsid w:val="39D773AA"/>
    <w:rsid w:val="405D2C18"/>
    <w:rsid w:val="43D143A4"/>
    <w:rsid w:val="48591027"/>
    <w:rsid w:val="4BF567E9"/>
    <w:rsid w:val="4DF36D9E"/>
    <w:rsid w:val="4EE82438"/>
    <w:rsid w:val="4FED1B34"/>
    <w:rsid w:val="545F7B2B"/>
    <w:rsid w:val="55E744DC"/>
    <w:rsid w:val="56B011C8"/>
    <w:rsid w:val="57324849"/>
    <w:rsid w:val="5CB772E3"/>
    <w:rsid w:val="68FB6DA7"/>
    <w:rsid w:val="6D3276E8"/>
    <w:rsid w:val="73E624B6"/>
    <w:rsid w:val="7A6C0ECE"/>
    <w:rsid w:val="FDDFE0D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beforeLines="50"/>
      <w:ind w:firstLine="200" w:firstLineChars="200"/>
    </w:pPr>
    <w:rPr>
      <w:rFonts w:ascii="等线" w:hAnsi="等线" w:eastAsia="等线" w:cs="宋体"/>
      <w:sz w:val="21"/>
      <w:szCs w:val="21"/>
      <w:lang w:val="en-US" w:eastAsia="zh-CN" w:bidi="ar-SA"/>
    </w:rPr>
  </w:style>
  <w:style w:type="paragraph" w:styleId="2">
    <w:name w:val="heading 1"/>
    <w:basedOn w:val="1"/>
    <w:next w:val="1"/>
    <w:link w:val="32"/>
    <w:qFormat/>
    <w:uiPriority w:val="9"/>
    <w:pPr>
      <w:spacing w:beforeLines="100" w:afterLines="75" w:line="400" w:lineRule="exact"/>
      <w:ind w:firstLine="0" w:firstLineChars="0"/>
      <w:jc w:val="center"/>
      <w:outlineLvl w:val="0"/>
    </w:pPr>
    <w:rPr>
      <w:rFonts w:eastAsia="宋体"/>
      <w:b/>
      <w:bCs/>
      <w:kern w:val="36"/>
      <w:sz w:val="24"/>
      <w:szCs w:val="24"/>
    </w:rPr>
  </w:style>
  <w:style w:type="paragraph" w:styleId="3">
    <w:name w:val="heading 2"/>
    <w:basedOn w:val="1"/>
    <w:next w:val="1"/>
    <w:link w:val="51"/>
    <w:unhideWhenUsed/>
    <w:qFormat/>
    <w:uiPriority w:val="9"/>
    <w:pPr>
      <w:keepNext/>
      <w:keepLines/>
      <w:spacing w:before="211" w:line="400" w:lineRule="exact"/>
      <w:ind w:firstLine="0" w:firstLineChars="0"/>
      <w:jc w:val="center"/>
      <w:outlineLvl w:val="1"/>
    </w:pPr>
    <w:rPr>
      <w:rFonts w:cstheme="majorBidi"/>
      <w:b/>
      <w:bCs/>
      <w:szCs w:val="32"/>
    </w:rPr>
  </w:style>
  <w:style w:type="paragraph" w:styleId="4">
    <w:name w:val="heading 3"/>
    <w:basedOn w:val="1"/>
    <w:next w:val="1"/>
    <w:link w:val="50"/>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59"/>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25">
    <w:name w:val="Default Paragraph Font"/>
    <w:semiHidden/>
    <w:unhideWhenUsed/>
    <w:qFormat/>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styleId="6">
    <w:name w:val="toc 7"/>
    <w:basedOn w:val="1"/>
    <w:next w:val="1"/>
    <w:unhideWhenUsed/>
    <w:qFormat/>
    <w:uiPriority w:val="39"/>
    <w:pPr>
      <w:ind w:left="1260"/>
    </w:pPr>
    <w:rPr>
      <w:rFonts w:asciiTheme="minorHAnsi" w:eastAsiaTheme="minorHAnsi"/>
      <w:sz w:val="18"/>
      <w:szCs w:val="18"/>
    </w:rPr>
  </w:style>
  <w:style w:type="paragraph" w:styleId="7">
    <w:name w:val="annotation text"/>
    <w:basedOn w:val="1"/>
    <w:link w:val="47"/>
    <w:unhideWhenUsed/>
    <w:qFormat/>
    <w:uiPriority w:val="99"/>
  </w:style>
  <w:style w:type="paragraph" w:styleId="8">
    <w:name w:val="toc 5"/>
    <w:basedOn w:val="1"/>
    <w:next w:val="1"/>
    <w:unhideWhenUsed/>
    <w:qFormat/>
    <w:uiPriority w:val="39"/>
    <w:pPr>
      <w:ind w:left="840"/>
    </w:pPr>
    <w:rPr>
      <w:rFonts w:asciiTheme="minorHAnsi" w:eastAsiaTheme="minorHAnsi"/>
      <w:sz w:val="18"/>
      <w:szCs w:val="18"/>
    </w:rPr>
  </w:style>
  <w:style w:type="paragraph" w:styleId="9">
    <w:name w:val="toc 3"/>
    <w:basedOn w:val="1"/>
    <w:next w:val="1"/>
    <w:unhideWhenUsed/>
    <w:qFormat/>
    <w:uiPriority w:val="39"/>
    <w:pPr>
      <w:ind w:left="420"/>
    </w:pPr>
    <w:rPr>
      <w:rFonts w:asciiTheme="minorHAnsi" w:eastAsiaTheme="minorHAnsi"/>
      <w:i/>
      <w:iCs/>
      <w:sz w:val="20"/>
      <w:szCs w:val="20"/>
    </w:rPr>
  </w:style>
  <w:style w:type="paragraph" w:styleId="10">
    <w:name w:val="toc 8"/>
    <w:basedOn w:val="1"/>
    <w:next w:val="1"/>
    <w:unhideWhenUsed/>
    <w:qFormat/>
    <w:uiPriority w:val="39"/>
    <w:pPr>
      <w:ind w:left="1470"/>
    </w:pPr>
    <w:rPr>
      <w:rFonts w:asciiTheme="minorHAnsi" w:eastAsiaTheme="minorHAnsi"/>
      <w:sz w:val="18"/>
      <w:szCs w:val="18"/>
    </w:rPr>
  </w:style>
  <w:style w:type="paragraph" w:styleId="11">
    <w:name w:val="Balloon Text"/>
    <w:basedOn w:val="1"/>
    <w:link w:val="49"/>
    <w:unhideWhenUsed/>
    <w:qFormat/>
    <w:uiPriority w:val="99"/>
    <w:rPr>
      <w:rFonts w:ascii="Times New Roman" w:hAnsi="Times New Roman" w:cs="Times New Roman"/>
      <w:sz w:val="18"/>
      <w:szCs w:val="18"/>
    </w:rPr>
  </w:style>
  <w:style w:type="paragraph" w:styleId="12">
    <w:name w:val="footer"/>
    <w:basedOn w:val="1"/>
    <w:link w:val="31"/>
    <w:unhideWhenUsed/>
    <w:qFormat/>
    <w:uiPriority w:val="99"/>
    <w:pPr>
      <w:tabs>
        <w:tab w:val="center" w:pos="4153"/>
        <w:tab w:val="right" w:pos="8306"/>
      </w:tabs>
      <w:snapToGrid w:val="0"/>
    </w:pPr>
    <w:rPr>
      <w:sz w:val="18"/>
      <w:szCs w:val="18"/>
    </w:rPr>
  </w:style>
  <w:style w:type="paragraph" w:styleId="13">
    <w:name w:val="header"/>
    <w:basedOn w:val="1"/>
    <w:link w:val="30"/>
    <w:unhideWhenUsed/>
    <w:qFormat/>
    <w:uiPriority w:val="99"/>
    <w:pPr>
      <w:pBdr>
        <w:bottom w:val="single" w:color="auto" w:sz="6" w:space="0"/>
      </w:pBdr>
      <w:tabs>
        <w:tab w:val="center" w:pos="4153"/>
        <w:tab w:val="right" w:pos="8306"/>
      </w:tabs>
      <w:snapToGrid w:val="0"/>
      <w:spacing w:before="120"/>
      <w:ind w:firstLine="0" w:firstLineChars="0"/>
      <w:jc w:val="center"/>
    </w:pPr>
    <w:rPr>
      <w:sz w:val="18"/>
      <w:szCs w:val="18"/>
    </w:rPr>
  </w:style>
  <w:style w:type="paragraph" w:styleId="14">
    <w:name w:val="toc 1"/>
    <w:basedOn w:val="2"/>
    <w:next w:val="2"/>
    <w:unhideWhenUsed/>
    <w:qFormat/>
    <w:uiPriority w:val="39"/>
    <w:pPr>
      <w:tabs>
        <w:tab w:val="right" w:pos="9730"/>
      </w:tabs>
      <w:spacing w:beforeLines="0" w:afterLines="0" w:line="240" w:lineRule="auto"/>
      <w:jc w:val="left"/>
      <w:outlineLvl w:val="9"/>
    </w:pPr>
    <w:rPr>
      <w:rFonts w:asciiTheme="minorHAnsi"/>
      <w:b w:val="0"/>
      <w:caps/>
      <w:kern w:val="0"/>
      <w:sz w:val="21"/>
      <w:szCs w:val="20"/>
    </w:rPr>
  </w:style>
  <w:style w:type="paragraph" w:styleId="15">
    <w:name w:val="toc 4"/>
    <w:basedOn w:val="1"/>
    <w:next w:val="1"/>
    <w:unhideWhenUsed/>
    <w:qFormat/>
    <w:uiPriority w:val="39"/>
    <w:pPr>
      <w:ind w:left="630"/>
    </w:pPr>
    <w:rPr>
      <w:rFonts w:asciiTheme="minorHAnsi" w:eastAsiaTheme="minorHAnsi"/>
      <w:sz w:val="18"/>
      <w:szCs w:val="18"/>
    </w:rPr>
  </w:style>
  <w:style w:type="paragraph" w:styleId="16">
    <w:name w:val="Subtitle"/>
    <w:basedOn w:val="1"/>
    <w:next w:val="1"/>
    <w:link w:val="56"/>
    <w:qFormat/>
    <w:uiPriority w:val="11"/>
    <w:pPr>
      <w:spacing w:before="60" w:after="60" w:line="312" w:lineRule="auto"/>
      <w:jc w:val="center"/>
      <w:outlineLvl w:val="1"/>
    </w:pPr>
    <w:rPr>
      <w:rFonts w:asciiTheme="minorHAnsi" w:hAnsiTheme="minorHAnsi" w:cstheme="minorBidi"/>
      <w:bCs/>
      <w:kern w:val="28"/>
      <w:szCs w:val="32"/>
    </w:rPr>
  </w:style>
  <w:style w:type="paragraph" w:styleId="17">
    <w:name w:val="toc 6"/>
    <w:basedOn w:val="1"/>
    <w:next w:val="1"/>
    <w:unhideWhenUsed/>
    <w:qFormat/>
    <w:uiPriority w:val="39"/>
    <w:pPr>
      <w:ind w:left="1050"/>
    </w:pPr>
    <w:rPr>
      <w:rFonts w:asciiTheme="minorHAnsi" w:eastAsiaTheme="minorHAnsi"/>
      <w:sz w:val="18"/>
      <w:szCs w:val="18"/>
    </w:rPr>
  </w:style>
  <w:style w:type="paragraph" w:styleId="18">
    <w:name w:val="toc 2"/>
    <w:basedOn w:val="1"/>
    <w:next w:val="1"/>
    <w:unhideWhenUsed/>
    <w:qFormat/>
    <w:uiPriority w:val="39"/>
    <w:pPr>
      <w:spacing w:beforeLines="0"/>
    </w:pPr>
    <w:rPr>
      <w:rFonts w:asciiTheme="minorHAnsi" w:eastAsiaTheme="minorHAnsi"/>
      <w:smallCaps/>
      <w:szCs w:val="20"/>
    </w:rPr>
  </w:style>
  <w:style w:type="paragraph" w:styleId="19">
    <w:name w:val="toc 9"/>
    <w:basedOn w:val="1"/>
    <w:next w:val="1"/>
    <w:unhideWhenUsed/>
    <w:qFormat/>
    <w:uiPriority w:val="39"/>
    <w:pPr>
      <w:ind w:left="1680"/>
    </w:pPr>
    <w:rPr>
      <w:rFonts w:asciiTheme="minorHAnsi" w:eastAsiaTheme="minorHAnsi"/>
      <w:sz w:val="18"/>
      <w:szCs w:val="18"/>
    </w:rPr>
  </w:style>
  <w:style w:type="paragraph" w:styleId="20">
    <w:name w:val="Normal (Web)"/>
    <w:basedOn w:val="1"/>
    <w:unhideWhenUsed/>
    <w:qFormat/>
    <w:uiPriority w:val="99"/>
    <w:pPr>
      <w:spacing w:before="100" w:beforeAutospacing="1" w:after="100" w:afterAutospacing="1"/>
    </w:pPr>
  </w:style>
  <w:style w:type="paragraph" w:styleId="21">
    <w:name w:val="Title"/>
    <w:basedOn w:val="1"/>
    <w:next w:val="1"/>
    <w:link w:val="55"/>
    <w:qFormat/>
    <w:uiPriority w:val="10"/>
    <w:pPr>
      <w:spacing w:before="240" w:after="60"/>
      <w:jc w:val="center"/>
      <w:outlineLvl w:val="0"/>
    </w:pPr>
    <w:rPr>
      <w:rFonts w:eastAsia="宋体-简" w:asciiTheme="majorHAnsi" w:hAnsiTheme="majorHAnsi" w:cstheme="majorBidi"/>
      <w:b/>
      <w:bCs/>
      <w:sz w:val="32"/>
      <w:szCs w:val="32"/>
    </w:rPr>
  </w:style>
  <w:style w:type="paragraph" w:styleId="22">
    <w:name w:val="annotation subject"/>
    <w:basedOn w:val="7"/>
    <w:next w:val="7"/>
    <w:link w:val="48"/>
    <w:unhideWhenUsed/>
    <w:qFormat/>
    <w:uiPriority w:val="99"/>
    <w:rPr>
      <w:b/>
      <w:bCs/>
    </w:rPr>
  </w:style>
  <w:style w:type="table" w:styleId="24">
    <w:name w:val="Table Grid"/>
    <w:basedOn w:val="23"/>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6">
    <w:name w:val="page number"/>
    <w:basedOn w:val="25"/>
    <w:unhideWhenUsed/>
    <w:qFormat/>
    <w:uiPriority w:val="99"/>
  </w:style>
  <w:style w:type="character" w:styleId="27">
    <w:name w:val="FollowedHyperlink"/>
    <w:basedOn w:val="25"/>
    <w:unhideWhenUsed/>
    <w:qFormat/>
    <w:uiPriority w:val="99"/>
    <w:rPr>
      <w:color w:val="954F72" w:themeColor="followedHyperlink"/>
      <w:u w:val="single"/>
    </w:rPr>
  </w:style>
  <w:style w:type="character" w:styleId="28">
    <w:name w:val="Hyperlink"/>
    <w:basedOn w:val="25"/>
    <w:unhideWhenUsed/>
    <w:qFormat/>
    <w:uiPriority w:val="99"/>
    <w:rPr>
      <w:color w:val="0000FF"/>
      <w:u w:val="none"/>
    </w:rPr>
  </w:style>
  <w:style w:type="character" w:styleId="29">
    <w:name w:val="annotation reference"/>
    <w:basedOn w:val="25"/>
    <w:unhideWhenUsed/>
    <w:qFormat/>
    <w:uiPriority w:val="99"/>
    <w:rPr>
      <w:sz w:val="21"/>
      <w:szCs w:val="21"/>
    </w:rPr>
  </w:style>
  <w:style w:type="character" w:customStyle="1" w:styleId="30">
    <w:name w:val="页眉 Char"/>
    <w:basedOn w:val="25"/>
    <w:link w:val="13"/>
    <w:qFormat/>
    <w:uiPriority w:val="99"/>
    <w:rPr>
      <w:rFonts w:ascii="等线" w:hAnsi="等线" w:eastAsia="等线" w:cs="宋体"/>
      <w:sz w:val="18"/>
      <w:szCs w:val="18"/>
    </w:rPr>
  </w:style>
  <w:style w:type="character" w:customStyle="1" w:styleId="31">
    <w:name w:val="页脚 Char"/>
    <w:basedOn w:val="25"/>
    <w:link w:val="12"/>
    <w:qFormat/>
    <w:uiPriority w:val="99"/>
    <w:rPr>
      <w:sz w:val="18"/>
      <w:szCs w:val="18"/>
    </w:rPr>
  </w:style>
  <w:style w:type="character" w:customStyle="1" w:styleId="32">
    <w:name w:val="标题 1 Char"/>
    <w:basedOn w:val="25"/>
    <w:link w:val="2"/>
    <w:qFormat/>
    <w:uiPriority w:val="9"/>
    <w:rPr>
      <w:rFonts w:ascii="等线" w:hAnsi="等线" w:eastAsia="宋体" w:cs="宋体"/>
      <w:b/>
      <w:bCs/>
      <w:kern w:val="36"/>
    </w:rPr>
  </w:style>
  <w:style w:type="paragraph" w:customStyle="1" w:styleId="33">
    <w:name w:val="doc-a"/>
    <w:basedOn w:val="1"/>
    <w:qFormat/>
    <w:uiPriority w:val="0"/>
    <w:pPr>
      <w:spacing w:before="100" w:beforeAutospacing="1" w:after="100" w:afterAutospacing="1"/>
      <w:ind w:firstLine="480"/>
    </w:pPr>
    <w:rPr>
      <w:rFonts w:ascii="微软雅黑" w:hAnsi="微软雅黑" w:eastAsia="微软雅黑"/>
    </w:rPr>
  </w:style>
  <w:style w:type="paragraph" w:customStyle="1" w:styleId="34">
    <w:name w:val="cnsubtitle"/>
    <w:basedOn w:val="1"/>
    <w:semiHidden/>
    <w:qFormat/>
    <w:uiPriority w:val="99"/>
    <w:pPr>
      <w:spacing w:before="315" w:after="315" w:line="300" w:lineRule="exact"/>
    </w:pPr>
    <w:rPr>
      <w:rFonts w:ascii="微软雅黑" w:hAnsi="微软雅黑" w:eastAsia="微软雅黑"/>
    </w:rPr>
  </w:style>
  <w:style w:type="paragraph" w:customStyle="1" w:styleId="35">
    <w:name w:val="cntitle"/>
    <w:basedOn w:val="1"/>
    <w:semiHidden/>
    <w:qFormat/>
    <w:uiPriority w:val="99"/>
    <w:pPr>
      <w:spacing w:before="150" w:after="150"/>
      <w:ind w:left="150" w:right="150"/>
      <w:jc w:val="center"/>
    </w:pPr>
    <w:rPr>
      <w:rFonts w:ascii="微软雅黑" w:hAnsi="微软雅黑" w:eastAsia="微软雅黑"/>
      <w:b/>
      <w:bCs/>
      <w:vanish/>
    </w:rPr>
  </w:style>
  <w:style w:type="paragraph" w:customStyle="1" w:styleId="36">
    <w:name w:val="promulgatetitle"/>
    <w:basedOn w:val="1"/>
    <w:semiHidden/>
    <w:qFormat/>
    <w:uiPriority w:val="99"/>
    <w:pPr>
      <w:spacing w:before="100" w:beforeAutospacing="1" w:after="100" w:afterAutospacing="1"/>
      <w:jc w:val="center"/>
    </w:pPr>
    <w:rPr>
      <w:rFonts w:ascii="微软雅黑" w:hAnsi="微软雅黑" w:eastAsia="微软雅黑"/>
      <w:b/>
      <w:bCs/>
      <w:vanish/>
    </w:rPr>
  </w:style>
  <w:style w:type="paragraph" w:customStyle="1" w:styleId="37">
    <w:name w:val="promulgatesubtitle"/>
    <w:basedOn w:val="1"/>
    <w:semiHidden/>
    <w:qFormat/>
    <w:uiPriority w:val="99"/>
    <w:pPr>
      <w:spacing w:before="150" w:after="150"/>
      <w:ind w:left="150" w:right="150"/>
      <w:jc w:val="center"/>
    </w:pPr>
    <w:rPr>
      <w:rFonts w:ascii="微软雅黑" w:hAnsi="微软雅黑" w:eastAsia="微软雅黑"/>
      <w:sz w:val="23"/>
      <w:szCs w:val="23"/>
    </w:rPr>
  </w:style>
  <w:style w:type="paragraph" w:customStyle="1" w:styleId="38">
    <w:name w:val="promulgatedate"/>
    <w:basedOn w:val="1"/>
    <w:qFormat/>
    <w:uiPriority w:val="0"/>
    <w:pPr>
      <w:jc w:val="right"/>
    </w:pPr>
  </w:style>
  <w:style w:type="paragraph" w:customStyle="1" w:styleId="39">
    <w:name w:val="promulgatesignatory"/>
    <w:basedOn w:val="1"/>
    <w:qFormat/>
    <w:uiPriority w:val="0"/>
    <w:pPr>
      <w:jc w:val="right"/>
    </w:pPr>
  </w:style>
  <w:style w:type="paragraph" w:customStyle="1" w:styleId="40">
    <w:name w:val="标题1"/>
    <w:basedOn w:val="1"/>
    <w:semiHidden/>
    <w:qFormat/>
    <w:uiPriority w:val="99"/>
    <w:pPr>
      <w:spacing w:before="100" w:beforeAutospacing="1" w:after="100" w:afterAutospacing="1"/>
      <w:ind w:firstLine="480"/>
    </w:pPr>
    <w:rPr>
      <w:rFonts w:ascii="微软雅黑" w:hAnsi="微软雅黑" w:eastAsia="微软雅黑"/>
    </w:rPr>
  </w:style>
  <w:style w:type="paragraph" w:customStyle="1" w:styleId="41">
    <w:name w:val="catalog-a"/>
    <w:basedOn w:val="1"/>
    <w:semiHidden/>
    <w:qFormat/>
    <w:uiPriority w:val="99"/>
    <w:pPr>
      <w:spacing w:before="100" w:beforeAutospacing="1" w:after="100" w:afterAutospacing="1"/>
    </w:pPr>
  </w:style>
  <w:style w:type="character" w:customStyle="1" w:styleId="42">
    <w:name w:val="chaptertitle"/>
    <w:basedOn w:val="25"/>
    <w:qFormat/>
    <w:uiPriority w:val="0"/>
    <w:rPr>
      <w:rFonts w:hint="eastAsia" w:ascii="微软雅黑" w:hAnsi="微软雅黑" w:eastAsia="微软雅黑"/>
      <w:b/>
      <w:bCs/>
      <w:sz w:val="21"/>
      <w:szCs w:val="21"/>
    </w:rPr>
  </w:style>
  <w:style w:type="character" w:customStyle="1" w:styleId="43">
    <w:name w:val="metaname1"/>
    <w:basedOn w:val="25"/>
    <w:qFormat/>
    <w:uiPriority w:val="0"/>
    <w:rPr>
      <w:rFonts w:hint="eastAsia" w:ascii="微软雅黑" w:hAnsi="微软雅黑" w:eastAsia="微软雅黑"/>
      <w:b/>
      <w:bCs/>
      <w:sz w:val="21"/>
      <w:szCs w:val="21"/>
    </w:rPr>
  </w:style>
  <w:style w:type="character" w:customStyle="1" w:styleId="44">
    <w:name w:val="sect2title1"/>
    <w:basedOn w:val="25"/>
    <w:qFormat/>
    <w:uiPriority w:val="0"/>
    <w:rPr>
      <w:rFonts w:hint="eastAsia" w:ascii="微软雅黑" w:hAnsi="微软雅黑" w:eastAsia="微软雅黑"/>
      <w:b/>
      <w:bCs/>
      <w:sz w:val="21"/>
      <w:szCs w:val="21"/>
    </w:rPr>
  </w:style>
  <w:style w:type="character" w:customStyle="1" w:styleId="45">
    <w:name w:val="title1"/>
    <w:basedOn w:val="25"/>
    <w:qFormat/>
    <w:uiPriority w:val="0"/>
    <w:rPr>
      <w:rFonts w:hint="eastAsia" w:ascii="微软雅黑" w:hAnsi="微软雅黑" w:eastAsia="微软雅黑"/>
      <w:sz w:val="21"/>
      <w:szCs w:val="21"/>
    </w:rPr>
  </w:style>
  <w:style w:type="character" w:customStyle="1" w:styleId="46">
    <w:name w:val="sect1title1"/>
    <w:basedOn w:val="25"/>
    <w:qFormat/>
    <w:uiPriority w:val="0"/>
    <w:rPr>
      <w:rFonts w:hint="eastAsia" w:ascii="微软雅黑" w:hAnsi="微软雅黑" w:eastAsia="微软雅黑"/>
      <w:b/>
      <w:bCs/>
      <w:sz w:val="21"/>
      <w:szCs w:val="21"/>
    </w:rPr>
  </w:style>
  <w:style w:type="character" w:customStyle="1" w:styleId="47">
    <w:name w:val="批注文字 Char"/>
    <w:basedOn w:val="25"/>
    <w:link w:val="7"/>
    <w:qFormat/>
    <w:uiPriority w:val="99"/>
    <w:rPr>
      <w:rFonts w:ascii="宋体" w:hAnsi="宋体" w:eastAsia="宋体" w:cs="宋体"/>
      <w:kern w:val="0"/>
    </w:rPr>
  </w:style>
  <w:style w:type="character" w:customStyle="1" w:styleId="48">
    <w:name w:val="批注主题 Char"/>
    <w:basedOn w:val="47"/>
    <w:link w:val="22"/>
    <w:semiHidden/>
    <w:qFormat/>
    <w:uiPriority w:val="99"/>
    <w:rPr>
      <w:rFonts w:ascii="宋体" w:hAnsi="宋体" w:eastAsia="宋体" w:cs="宋体"/>
      <w:b/>
      <w:bCs/>
      <w:kern w:val="0"/>
    </w:rPr>
  </w:style>
  <w:style w:type="character" w:customStyle="1" w:styleId="49">
    <w:name w:val="批注框文本 Char"/>
    <w:basedOn w:val="25"/>
    <w:link w:val="11"/>
    <w:semiHidden/>
    <w:qFormat/>
    <w:uiPriority w:val="99"/>
    <w:rPr>
      <w:rFonts w:ascii="Times New Roman" w:hAnsi="Times New Roman" w:eastAsia="宋体" w:cs="Times New Roman"/>
      <w:kern w:val="0"/>
      <w:sz w:val="18"/>
      <w:szCs w:val="18"/>
    </w:rPr>
  </w:style>
  <w:style w:type="character" w:customStyle="1" w:styleId="50">
    <w:name w:val="标题 3 Char"/>
    <w:basedOn w:val="25"/>
    <w:link w:val="4"/>
    <w:qFormat/>
    <w:uiPriority w:val="9"/>
    <w:rPr>
      <w:rFonts w:ascii="等线" w:hAnsi="等线" w:eastAsia="等线" w:cs="宋体"/>
      <w:b/>
      <w:bCs/>
      <w:kern w:val="0"/>
      <w:szCs w:val="32"/>
    </w:rPr>
  </w:style>
  <w:style w:type="character" w:customStyle="1" w:styleId="51">
    <w:name w:val="标题 2 Char"/>
    <w:basedOn w:val="25"/>
    <w:link w:val="3"/>
    <w:qFormat/>
    <w:uiPriority w:val="9"/>
    <w:rPr>
      <w:rFonts w:ascii="等线" w:hAnsi="等线" w:eastAsia="等线" w:cstheme="majorBidi"/>
      <w:b/>
      <w:bCs/>
      <w:kern w:val="0"/>
      <w:sz w:val="21"/>
      <w:szCs w:val="32"/>
    </w:rPr>
  </w:style>
  <w:style w:type="paragraph" w:customStyle="1" w:styleId="52">
    <w:name w:val="TOC 标题1"/>
    <w:basedOn w:val="2"/>
    <w:next w:val="1"/>
    <w:unhideWhenUsed/>
    <w:qFormat/>
    <w:uiPriority w:val="39"/>
    <w:pPr>
      <w:keepNext/>
      <w:keepLines/>
      <w:spacing w:before="480" w:line="276" w:lineRule="auto"/>
      <w:outlineLvl w:val="9"/>
    </w:pPr>
    <w:rPr>
      <w:rFonts w:asciiTheme="majorHAnsi" w:hAnsiTheme="majorHAnsi" w:eastAsiaTheme="majorEastAsia" w:cstheme="majorBidi"/>
      <w:color w:val="2F5496" w:themeColor="accent1" w:themeShade="BF"/>
      <w:kern w:val="0"/>
      <w:szCs w:val="28"/>
    </w:rPr>
  </w:style>
  <w:style w:type="table" w:customStyle="1" w:styleId="53">
    <w:name w:val="网格型浅色1"/>
    <w:basedOn w:val="23"/>
    <w:qFormat/>
    <w:uiPriority w:val="40"/>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
  </w:style>
  <w:style w:type="paragraph" w:customStyle="1" w:styleId="54">
    <w:name w:val="修订1"/>
    <w:hidden/>
    <w:semiHidden/>
    <w:qFormat/>
    <w:uiPriority w:val="99"/>
    <w:rPr>
      <w:rFonts w:ascii="宋体" w:hAnsi="宋体" w:eastAsia="宋体" w:cs="宋体"/>
      <w:sz w:val="24"/>
      <w:szCs w:val="24"/>
      <w:lang w:val="en-US" w:eastAsia="zh-CN" w:bidi="ar-SA"/>
    </w:rPr>
  </w:style>
  <w:style w:type="character" w:customStyle="1" w:styleId="55">
    <w:name w:val="标题 Char"/>
    <w:basedOn w:val="25"/>
    <w:link w:val="21"/>
    <w:qFormat/>
    <w:uiPriority w:val="10"/>
    <w:rPr>
      <w:rFonts w:eastAsia="宋体-简" w:asciiTheme="majorHAnsi" w:hAnsiTheme="majorHAnsi" w:cstheme="majorBidi"/>
      <w:b/>
      <w:bCs/>
      <w:kern w:val="0"/>
      <w:sz w:val="32"/>
      <w:szCs w:val="32"/>
    </w:rPr>
  </w:style>
  <w:style w:type="character" w:customStyle="1" w:styleId="56">
    <w:name w:val="副标题 Char"/>
    <w:basedOn w:val="25"/>
    <w:link w:val="16"/>
    <w:qFormat/>
    <w:uiPriority w:val="11"/>
    <w:rPr>
      <w:rFonts w:eastAsia="等线"/>
      <w:bCs/>
      <w:kern w:val="28"/>
      <w:sz w:val="21"/>
      <w:szCs w:val="32"/>
    </w:rPr>
  </w:style>
  <w:style w:type="paragraph" w:customStyle="1" w:styleId="57">
    <w:name w:val="引用1"/>
    <w:basedOn w:val="1"/>
    <w:next w:val="1"/>
    <w:link w:val="58"/>
    <w:qFormat/>
    <w:uiPriority w:val="29"/>
    <w:pPr>
      <w:spacing w:beforeLines="25" w:line="240" w:lineRule="exact"/>
    </w:pPr>
    <w:rPr>
      <w:iCs/>
      <w:color w:val="3F3F3F" w:themeColor="text1" w:themeTint="BF"/>
    </w:rPr>
  </w:style>
  <w:style w:type="character" w:customStyle="1" w:styleId="58">
    <w:name w:val="引用 字符"/>
    <w:basedOn w:val="25"/>
    <w:link w:val="57"/>
    <w:qFormat/>
    <w:uiPriority w:val="29"/>
    <w:rPr>
      <w:rFonts w:ascii="等线" w:hAnsi="等线" w:eastAsia="等线" w:cs="宋体"/>
      <w:iCs/>
      <w:color w:val="3F3F3F" w:themeColor="text1" w:themeTint="BF"/>
      <w:kern w:val="0"/>
      <w:sz w:val="21"/>
      <w:szCs w:val="21"/>
    </w:rPr>
  </w:style>
  <w:style w:type="character" w:customStyle="1" w:styleId="59">
    <w:name w:val="标题 4 Char"/>
    <w:basedOn w:val="25"/>
    <w:link w:val="5"/>
    <w:semiHidden/>
    <w:qFormat/>
    <w:uiPriority w:val="9"/>
    <w:rPr>
      <w:rFonts w:asciiTheme="majorHAnsi" w:hAnsiTheme="majorHAnsi" w:eastAsiaTheme="majorEastAsia" w:cstheme="majorBidi"/>
      <w:b/>
      <w:bCs/>
      <w:kern w:val="0"/>
      <w:sz w:val="28"/>
      <w:szCs w:val="28"/>
    </w:rPr>
  </w:style>
  <w:style w:type="paragraph" w:customStyle="1" w:styleId="60">
    <w:name w:val="列表段落1"/>
    <w:basedOn w:val="1"/>
    <w:qFormat/>
    <w:uiPriority w:val="34"/>
    <w:pPr>
      <w:ind w:firstLine="42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3354</Words>
  <Characters>3504</Characters>
  <Lines>30</Lines>
  <Paragraphs>8</Paragraphs>
  <TotalTime>1</TotalTime>
  <ScaleCrop>false</ScaleCrop>
  <LinksUpToDate>false</LinksUpToDate>
  <CharactersWithSpaces>3561</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2019-06-27T01:15:00Z</dcterms:created>
  <dc:creator>yunxia Geng</dc:creator>
  <cp:lastModifiedBy>jey</cp:lastModifiedBy>
  <cp:lastPrinted>2019-05-09T02:33:00Z</cp:lastPrinted>
  <dcterms:modified xsi:type="dcterms:W3CDTF">2022-12-06T09:43:49Z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4A0EFBAC2EC140E5A70894405C836EDB</vt:lpwstr>
  </property>
</Properties>
</file>