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43" w:firstLineChars="200"/>
        <w:jc w:val="center"/>
        <w:rPr>
          <w:rFonts w:hint="eastAsia" w:ascii="宋体" w:hAnsi="宋体" w:eastAsia="等线" w:cs="黑体"/>
          <w:b/>
          <w:color w:val="000000"/>
          <w:sz w:val="32"/>
          <w:szCs w:val="32"/>
        </w:rPr>
      </w:pPr>
      <w:r>
        <w:rPr>
          <w:rFonts w:hint="eastAsia" w:ascii="宋体" w:hAnsi="宋体" w:cs="黑体"/>
          <w:b/>
          <w:color w:val="000000"/>
          <w:sz w:val="32"/>
          <w:szCs w:val="32"/>
        </w:rPr>
        <w:t>2023年产品质量市级监督抽查实施细则（玩具）</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ascii="宋体" w:hAnsi="宋体"/>
          <w:b/>
          <w:bCs/>
          <w:color w:val="000000"/>
          <w:sz w:val="32"/>
          <w:szCs w:val="32"/>
        </w:rPr>
      </w:pPr>
    </w:p>
    <w:p>
      <w:pPr>
        <w:pStyle w:val="2"/>
      </w:pPr>
    </w:p>
    <w:p>
      <w:pPr>
        <w:rPr>
          <w:rFonts w:hint="eastAsia"/>
        </w:rPr>
      </w:pPr>
    </w:p>
    <w:p>
      <w:pPr>
        <w:snapToGrid w:val="0"/>
        <w:spacing w:line="440" w:lineRule="exact"/>
        <w:ind w:firstLine="643" w:firstLineChars="200"/>
        <w:jc w:val="center"/>
        <w:rPr>
          <w:rFonts w:hint="eastAsia" w:ascii="宋体" w:hAnsi="宋体"/>
          <w:b/>
          <w:bCs/>
          <w:color w:val="000000"/>
          <w:sz w:val="32"/>
          <w:szCs w:val="32"/>
        </w:rPr>
      </w:pPr>
    </w:p>
    <w:p>
      <w:pPr>
        <w:pStyle w:val="2"/>
        <w:rPr>
          <w:rFonts w:hint="eastAsia" w:ascii="等线" w:hAnsi="等线"/>
        </w:rPr>
      </w:pPr>
    </w:p>
    <w:p>
      <w:pPr>
        <w:rPr>
          <w:rFonts w:hint="eastAsia"/>
        </w:rPr>
      </w:pPr>
    </w:p>
    <w:p>
      <w:pPr>
        <w:snapToGrid w:val="0"/>
        <w:spacing w:line="440" w:lineRule="exact"/>
        <w:rPr>
          <w:rFonts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91"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jc w:val="center"/>
        <w:rPr>
          <w:rFonts w:ascii="宋体" w:hAnsi="宋体"/>
          <w:b/>
          <w:bCs/>
          <w:color w:val="000000"/>
          <w:sz w:val="32"/>
          <w:szCs w:val="32"/>
        </w:rPr>
      </w:pPr>
      <w:r>
        <w:rPr>
          <w:rFonts w:hint="eastAsia" w:ascii="宋体" w:hAnsi="宋体"/>
          <w:b/>
          <w:bCs/>
          <w:color w:val="000000"/>
          <w:sz w:val="32"/>
          <w:szCs w:val="32"/>
        </w:rPr>
        <w:t>2023年8月</w:t>
      </w:r>
    </w:p>
    <w:p>
      <w:pPr>
        <w:adjustRightInd w:val="0"/>
        <w:snapToGrid w:val="0"/>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玩具产品质量监督抽查实施细则</w:t>
      </w:r>
    </w:p>
    <w:p>
      <w:pPr>
        <w:adjustRightInd w:val="0"/>
        <w:snapToGrid w:val="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 抽样方法</w:t>
      </w:r>
    </w:p>
    <w:p>
      <w:pPr>
        <w:adjustRightInd w:val="0"/>
        <w:snapToGrid w:val="0"/>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以随机抽样的方式抽取检验样品和备用样品</w:t>
      </w:r>
      <w:r>
        <w:rPr>
          <w:rFonts w:hint="eastAsia" w:asciiTheme="minorEastAsia" w:hAnsiTheme="minorEastAsia" w:eastAsiaTheme="minorEastAsia" w:cstheme="minorEastAsia"/>
          <w:sz w:val="28"/>
          <w:szCs w:val="28"/>
        </w:rPr>
        <w:t>。</w:t>
      </w:r>
    </w:p>
    <w:p>
      <w:pPr>
        <w:adjustRightInd w:val="0"/>
        <w:snapToGrid w:val="0"/>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每批次产品抽取样品3个，其中2个作为检验样品，1个作为备用样品。</w:t>
      </w:r>
    </w:p>
    <w:p>
      <w:pPr>
        <w:adjustRightInd w:val="0"/>
        <w:snapToGrid w:val="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 检验依据</w:t>
      </w:r>
    </w:p>
    <w:p>
      <w:pPr>
        <w:adjustRightInd w:val="0"/>
        <w:snapToGrid w:val="0"/>
        <w:ind w:firstLine="557" w:firstLineChars="19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表1 玩具检验项目</w:t>
      </w:r>
    </w:p>
    <w:tbl>
      <w:tblPr>
        <w:tblStyle w:val="6"/>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4457"/>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blHeader/>
          <w:jc w:val="center"/>
        </w:trPr>
        <w:tc>
          <w:tcPr>
            <w:tcW w:w="1494" w:type="dxa"/>
            <w:vAlign w:val="center"/>
          </w:tcPr>
          <w:p>
            <w:pPr>
              <w:adjustRightInd w:val="0"/>
              <w:snapToGrid w:val="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4457" w:type="dxa"/>
            <w:vAlign w:val="center"/>
          </w:tcPr>
          <w:p>
            <w:pPr>
              <w:adjustRightInd w:val="0"/>
              <w:snapToGrid w:val="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检验项目</w:t>
            </w:r>
          </w:p>
        </w:tc>
        <w:tc>
          <w:tcPr>
            <w:tcW w:w="3306" w:type="dxa"/>
            <w:vAlign w:val="center"/>
          </w:tcPr>
          <w:p>
            <w:pPr>
              <w:adjustRightInd w:val="0"/>
              <w:snapToGrid w:val="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kern w:val="0"/>
                <w:sz w:val="28"/>
                <w:szCs w:val="28"/>
                <w:lang w:bidi="ar"/>
              </w:rPr>
              <w:t>1</w:t>
            </w:r>
          </w:p>
        </w:tc>
        <w:tc>
          <w:tcPr>
            <w:tcW w:w="4457" w:type="dxa"/>
            <w:vAlign w:val="center"/>
          </w:tcPr>
          <w:p>
            <w:pPr>
              <w:widowControl/>
              <w:jc w:val="center"/>
              <w:textAlignment w:val="center"/>
              <w:rPr>
                <w:rFonts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kern w:val="0"/>
                <w:sz w:val="28"/>
                <w:szCs w:val="28"/>
                <w:lang w:bidi="ar"/>
              </w:rPr>
              <w:t>可预见的合理滥用</w:t>
            </w:r>
          </w:p>
        </w:tc>
        <w:tc>
          <w:tcPr>
            <w:tcW w:w="3306" w:type="dxa"/>
            <w:vAlign w:val="center"/>
          </w:tcPr>
          <w:p>
            <w:pPr>
              <w:widowControl/>
              <w:jc w:val="center"/>
              <w:textAlignment w:val="center"/>
              <w:rPr>
                <w:rFonts w:asciiTheme="minorEastAsia" w:hAnsiTheme="minorEastAsia" w:eastAsiaTheme="minorEastAsia" w:cstheme="minorEastAsia"/>
                <w:color w:val="000000"/>
                <w:kern w:val="0"/>
                <w:sz w:val="28"/>
                <w:szCs w:val="28"/>
                <w:lang w:bidi="ar"/>
              </w:rPr>
            </w:pPr>
            <w:r>
              <w:rPr>
                <w:rFonts w:hint="eastAsia" w:asciiTheme="minorEastAsia" w:hAnsiTheme="minorEastAsia" w:eastAsiaTheme="minorEastAsia" w:cstheme="minorEastAsia"/>
                <w:color w:val="000000"/>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bookmarkStart w:id="0" w:name="_GoBack"/>
            <w:r>
              <w:rPr>
                <w:rFonts w:hint="eastAsia" w:asciiTheme="minorEastAsia" w:hAnsiTheme="minorEastAsia" w:eastAsiaTheme="minorEastAsia" w:cstheme="minorEastAsia"/>
                <w:color w:val="auto"/>
                <w:kern w:val="0"/>
                <w:sz w:val="28"/>
                <w:szCs w:val="28"/>
                <w:lang w:bidi="ar"/>
              </w:rPr>
              <w:t>2</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材料</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3</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小零件</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4</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某些特定玩具的形状、尺寸及强度</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5</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边缘</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6</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尖端</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7</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突出部件</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8</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用于包装或玩具中的塑料袋或塑料薄膜</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9</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孔、间隙、机械装置的可触及性</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10</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卫生要求</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94"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11</w:t>
            </w:r>
          </w:p>
        </w:tc>
        <w:tc>
          <w:tcPr>
            <w:tcW w:w="4457"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玩具标识</w:t>
            </w:r>
          </w:p>
        </w:tc>
        <w:tc>
          <w:tcPr>
            <w:tcW w:w="3306" w:type="dxa"/>
            <w:vAlign w:val="center"/>
          </w:tcPr>
          <w:p>
            <w:pPr>
              <w:widowControl/>
              <w:jc w:val="center"/>
              <w:textAlignment w:val="center"/>
              <w:rPr>
                <w:rFonts w:asciiTheme="minorEastAsia" w:hAnsiTheme="minorEastAsia" w:eastAsiaTheme="minorEastAsia" w:cstheme="minorEastAsia"/>
                <w:color w:val="auto"/>
                <w:kern w:val="0"/>
                <w:sz w:val="28"/>
                <w:szCs w:val="28"/>
                <w:lang w:bidi="ar"/>
              </w:rPr>
            </w:pPr>
            <w:r>
              <w:rPr>
                <w:rFonts w:hint="eastAsia" w:asciiTheme="minorEastAsia" w:hAnsiTheme="minorEastAsia" w:eastAsiaTheme="minorEastAsia" w:cstheme="minorEastAsia"/>
                <w:color w:val="auto"/>
                <w:kern w:val="0"/>
                <w:sz w:val="28"/>
                <w:szCs w:val="28"/>
                <w:lang w:bidi="ar"/>
              </w:rPr>
              <w:t>GB 6675.1-2014</w:t>
            </w:r>
          </w:p>
        </w:tc>
      </w:tr>
    </w:tbl>
    <w:p>
      <w:pPr>
        <w:pStyle w:val="3"/>
        <w:ind w:firstLine="0" w:firstLineChars="0"/>
        <w:rPr>
          <w:rFonts w:asciiTheme="minorEastAsia" w:hAnsiTheme="minorEastAsia" w:eastAsiaTheme="minorEastAsia" w:cstheme="minorEastAsia"/>
          <w:color w:val="auto"/>
          <w:sz w:val="28"/>
          <w:szCs w:val="28"/>
        </w:rPr>
      </w:pP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注：执行企业标准、团体标准、地方标准的产品，检验项目参照上述内容执行。</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凡是注日期的文件，其随后所有的修改单（不包括勘误的内容）或修订版不适用于本细则。凡是不注日期的文件，其最新版本适用于本细则。</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依照有关规定或产品适用标准，需要检测的其他项目，可视情况进行调整。</w:t>
      </w:r>
    </w:p>
    <w:p>
      <w:pPr>
        <w:snapToGrid w:val="0"/>
        <w:spacing w:line="440" w:lineRule="exact"/>
        <w:rPr>
          <w:rFonts w:ascii="宋体" w:hAnsi="宋体" w:cs="宋体"/>
          <w:color w:val="auto"/>
          <w:sz w:val="28"/>
          <w:szCs w:val="28"/>
        </w:rPr>
      </w:pPr>
      <w:r>
        <w:rPr>
          <w:rFonts w:hint="eastAsia" w:ascii="宋体" w:hAnsi="宋体" w:cs="宋体"/>
          <w:color w:val="auto"/>
          <w:sz w:val="28"/>
          <w:szCs w:val="28"/>
        </w:rPr>
        <w:t>3 判定规则</w:t>
      </w:r>
    </w:p>
    <w:p>
      <w:pPr>
        <w:snapToGrid w:val="0"/>
        <w:spacing w:line="440" w:lineRule="exact"/>
        <w:rPr>
          <w:rFonts w:ascii="宋体" w:hAnsi="宋体" w:cs="宋体"/>
          <w:color w:val="auto"/>
          <w:sz w:val="28"/>
          <w:szCs w:val="28"/>
        </w:rPr>
      </w:pPr>
      <w:r>
        <w:rPr>
          <w:rFonts w:hint="eastAsia" w:ascii="宋体" w:hAnsi="宋体" w:cs="宋体"/>
          <w:color w:val="auto"/>
          <w:sz w:val="28"/>
          <w:szCs w:val="28"/>
        </w:rPr>
        <w:t>3.1依据标准</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GB 6675.1-2014 玩具安全 第1部分：基本规范</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GB 6675.2-2014 玩具安全 第2部分：机械与物理性能</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相关的法律、行政法规、部门规章、规范性文件</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现行有效的企业标准、团体标准、地方标准及产品明示质量要求。</w:t>
      </w:r>
    </w:p>
    <w:p>
      <w:pPr>
        <w:snapToGrid w:val="0"/>
        <w:spacing w:line="440" w:lineRule="exact"/>
        <w:rPr>
          <w:rFonts w:ascii="宋体" w:hAnsi="宋体" w:cs="宋体"/>
          <w:color w:val="auto"/>
          <w:sz w:val="28"/>
          <w:szCs w:val="28"/>
        </w:rPr>
      </w:pPr>
      <w:r>
        <w:rPr>
          <w:rFonts w:hint="eastAsia" w:ascii="宋体" w:hAnsi="宋体" w:cs="宋体"/>
          <w:color w:val="auto"/>
          <w:sz w:val="28"/>
          <w:szCs w:val="28"/>
        </w:rPr>
        <w:t>3.2判定原则</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经检验，检验项目全部合格，判定为被抽查产品所检项目未发现不合格；检验项目中任一项或一项以上不合格，判定为被抽查产品不合格。</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若被检产品明示的质量要求高于本细则中检验项目依据的标准要求时，应按被检产品明示的质量要求判定。</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若被检产品明示的质量要求低于本细则中检验项目依据的强制性标准要求时，应按照强制性标准要求判定。</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若被检产品明示的质量要求低于或包含本细则中检验项目依据的推荐性标准要求时，应以被检产品明示的质量要求判定。</w:t>
      </w:r>
    </w:p>
    <w:p>
      <w:pPr>
        <w:snapToGrid w:val="0"/>
        <w:spacing w:line="440" w:lineRule="exact"/>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若被检产品明示的质量要求缺少本细则中检验项目依据的强制性标准要求时，应按照强制性标准要求判定。</w:t>
      </w:r>
    </w:p>
    <w:p>
      <w:pPr>
        <w:snapToGrid w:val="0"/>
        <w:spacing w:line="440" w:lineRule="exact"/>
        <w:ind w:firstLine="557" w:firstLineChars="199"/>
        <w:rPr>
          <w:rFonts w:asciiTheme="minorEastAsia" w:hAnsiTheme="minorEastAsia" w:eastAsiaTheme="minorEastAsia" w:cstheme="minorEastAsia"/>
          <w:sz w:val="28"/>
          <w:szCs w:val="28"/>
        </w:rPr>
      </w:pPr>
      <w:r>
        <w:rPr>
          <w:rFonts w:hint="eastAsia" w:ascii="宋体" w:hAnsi="宋体" w:cs="宋体"/>
          <w:color w:val="auto"/>
          <w:sz w:val="28"/>
          <w:szCs w:val="28"/>
        </w:rPr>
        <w:t>若被检产品明示的质量要求缺少本细则中检验项目依据的推荐性标准要求时，该项目不参与判定。</w:t>
      </w:r>
      <w:bookmarkEnd w:id="0"/>
    </w:p>
    <w:sectPr>
      <w:footerReference r:id="rId5" w:type="first"/>
      <w:footerReference r:id="rId3" w:type="default"/>
      <w:footerReference r:id="rId4" w:type="even"/>
      <w:pgSz w:w="11906" w:h="16838"/>
      <w:pgMar w:top="1440" w:right="1080" w:bottom="1440" w:left="1080" w:header="851" w:footer="73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19914B92"/>
    <w:rsid w:val="00297E30"/>
    <w:rsid w:val="00756615"/>
    <w:rsid w:val="00923439"/>
    <w:rsid w:val="0ABF7EE6"/>
    <w:rsid w:val="12F13313"/>
    <w:rsid w:val="14FE4DDE"/>
    <w:rsid w:val="16D637EF"/>
    <w:rsid w:val="17874F94"/>
    <w:rsid w:val="19914B92"/>
    <w:rsid w:val="1AA936A1"/>
    <w:rsid w:val="1B73636E"/>
    <w:rsid w:val="20B322A0"/>
    <w:rsid w:val="215D15A3"/>
    <w:rsid w:val="241910E8"/>
    <w:rsid w:val="2B871792"/>
    <w:rsid w:val="2D643517"/>
    <w:rsid w:val="34A8349B"/>
    <w:rsid w:val="38C7551D"/>
    <w:rsid w:val="3E5374CE"/>
    <w:rsid w:val="3F201F7C"/>
    <w:rsid w:val="40E16407"/>
    <w:rsid w:val="42A3531D"/>
    <w:rsid w:val="46886997"/>
    <w:rsid w:val="46D2093A"/>
    <w:rsid w:val="474E4869"/>
    <w:rsid w:val="4C167EC0"/>
    <w:rsid w:val="503610E0"/>
    <w:rsid w:val="5314122E"/>
    <w:rsid w:val="569B3011"/>
    <w:rsid w:val="56D14383"/>
    <w:rsid w:val="5ADD1747"/>
    <w:rsid w:val="606D232C"/>
    <w:rsid w:val="645070A6"/>
    <w:rsid w:val="665F48FF"/>
    <w:rsid w:val="6E9D7C9A"/>
    <w:rsid w:val="6F16157F"/>
    <w:rsid w:val="6F40644F"/>
    <w:rsid w:val="74A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w:basedOn w:val="1"/>
    <w:qFormat/>
    <w:uiPriority w:val="0"/>
    <w:pPr>
      <w:ind w:firstLine="600" w:firstLineChars="200"/>
    </w:pPr>
    <w:rPr>
      <w:rFonts w:ascii="Times New Roman" w:hAnsi="Times New Roman" w:eastAsia="仿宋_GB2312"/>
      <w:sz w:val="30"/>
      <w:szCs w:val="24"/>
    </w:rPr>
  </w:style>
  <w:style w:type="paragraph" w:styleId="4">
    <w:name w:val="Date"/>
    <w:basedOn w:val="1"/>
    <w:next w:val="1"/>
    <w:link w:val="9"/>
    <w:uiPriority w:val="0"/>
    <w:pPr>
      <w:ind w:left="100" w:leftChars="2500"/>
    </w:p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日期 字符"/>
    <w:basedOn w:val="7"/>
    <w:link w:val="4"/>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156</Words>
  <Characters>895</Characters>
  <Lines>7</Lines>
  <Paragraphs>2</Paragraphs>
  <TotalTime>1</TotalTime>
  <ScaleCrop>false</ScaleCrop>
  <LinksUpToDate>false</LinksUpToDate>
  <CharactersWithSpaces>1049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2023-02-16T00:37:00Z</dcterms:created>
  <dc:creator>山在那里</dc:creator>
  <cp:lastModifiedBy>123</cp:lastModifiedBy>
  <dcterms:modified xsi:type="dcterms:W3CDTF">2023-08-23T02:29:44Z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394481C6D604405C8D84EB36D5129179</vt:lpwstr>
  </property>
</Properties>
</file>