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225"/>
        <w:jc w:val="center"/>
      </w:pPr>
      <w:r>
        <w:rPr>
          <w:rStyle w:val="12"/>
          <w:rFonts w:hint="eastAsia" w:ascii="宋体" w:hAnsi="宋体" w:eastAsia="宋体" w:cs="宋体"/>
          <w:sz w:val="43"/>
          <w:szCs w:val="43"/>
        </w:rPr>
        <w:t>海口市项目支出绩效自评报告</w:t>
      </w:r>
      <w:r>
        <w:rPr>
          <w:rStyle w:val="12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一、项目概况    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 xml:space="preserve">（一）项目基本情况：立项情况、实施主体项目、资金及主要内容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专项支出名称：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企业职工养老保险补助经费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主管单位：海口市人力资源和社会保障局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项目单位：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海口市社会保险事业局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专项支出属性（新增/延续）：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该项目属于延续项目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总体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绩效目标：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确保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企业退休职工养老待遇按时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足额发放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申请资金总额：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default" w:ascii="楷体_GB2312" w:eastAsia="楷体_GB2312" w:cs="楷体_GB2312"/>
          <w:sz w:val="31"/>
          <w:szCs w:val="31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其中申请财政资金：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default" w:ascii="仿宋_GB2312" w:eastAsia="仿宋_GB2312" w:cs="仿宋_GB2312"/>
          <w:sz w:val="31"/>
          <w:szCs w:val="31"/>
        </w:rPr>
        <w:t>项目概述如下：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发放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企业职工养老保险补助经费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 w:firstLineChars="200"/>
        <w:jc w:val="left"/>
        <w:textAlignment w:val="auto"/>
      </w:pPr>
      <w:r>
        <w:rPr>
          <w:rFonts w:hint="default" w:ascii="仿宋_GB2312" w:eastAsia="仿宋_GB2312" w:cs="仿宋_GB2312"/>
          <w:sz w:val="31"/>
          <w:szCs w:val="31"/>
        </w:rPr>
        <w:t xml:space="preserve">（二）项目年度预算绩效目标和绩效指标设定情况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 w:firstLineChars="200"/>
        <w:jc w:val="left"/>
        <w:textAlignment w:val="auto"/>
      </w:pPr>
      <w:r>
        <w:rPr>
          <w:rFonts w:hint="default" w:ascii="仿宋_GB2312" w:eastAsia="仿宋_GB2312" w:cs="仿宋_GB2312"/>
          <w:sz w:val="31"/>
          <w:szCs w:val="31"/>
        </w:rPr>
        <w:t>总体目标：保障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企业退休职工养老待遇</w:t>
      </w:r>
      <w:r>
        <w:rPr>
          <w:rFonts w:hint="default" w:ascii="仿宋_GB2312" w:eastAsia="仿宋_GB2312" w:cs="仿宋_GB2312"/>
          <w:sz w:val="31"/>
          <w:szCs w:val="31"/>
        </w:rPr>
        <w:t>按时足额发放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 w:firstLineChars="200"/>
        <w:jc w:val="left"/>
        <w:textAlignment w:val="auto"/>
      </w:pPr>
      <w:r>
        <w:rPr>
          <w:rFonts w:hint="default" w:ascii="仿宋_GB2312" w:eastAsia="仿宋_GB2312" w:cs="仿宋_GB2312"/>
          <w:sz w:val="31"/>
          <w:szCs w:val="31"/>
        </w:rPr>
        <w:t>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default" w:ascii="仿宋_GB2312" w:eastAsia="仿宋_GB2312" w:cs="仿宋_GB2312"/>
          <w:sz w:val="31"/>
          <w:szCs w:val="31"/>
        </w:rPr>
        <w:t>年年度目标是保障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企业退休职工养老待遇</w:t>
      </w:r>
      <w:r>
        <w:rPr>
          <w:rFonts w:hint="default" w:ascii="仿宋_GB2312" w:eastAsia="仿宋_GB2312" w:cs="仿宋_GB2312"/>
          <w:sz w:val="31"/>
          <w:szCs w:val="31"/>
        </w:rPr>
        <w:t>按时足额发放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eastAsia="仿宋_GB2312"/>
          <w:lang w:eastAsia="zh-CN"/>
        </w:rPr>
      </w:pPr>
      <w:r>
        <w:rPr>
          <w:rFonts w:hint="default" w:ascii="仿宋_GB2312" w:eastAsia="仿宋_GB2312" w:cs="仿宋_GB2312"/>
          <w:sz w:val="31"/>
          <w:szCs w:val="31"/>
        </w:rPr>
        <w:t>当年年度目标完成情况：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完成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二、项目决策及资金使用管理情况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（一）项目决策情况（包括决策过程和结果）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（二）项目资金（包括财政资金、自筹资金等）安排落实、总投入等情况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企业职工养老保险补助经费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项目2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，实际到位资金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预算情况如下：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资金总额-年初预算数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8932800</w:t>
      </w:r>
      <w:r>
        <w:rPr>
          <w:rFonts w:hint="eastAsia" w:ascii="仿宋" w:hAnsi="仿宋" w:eastAsia="仿宋" w:cs="仿宋"/>
          <w:sz w:val="32"/>
          <w:szCs w:val="32"/>
        </w:rPr>
        <w:t>元，资金总额-全年预算数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" w:hAnsi="仿宋" w:eastAsia="仿宋" w:cs="仿宋"/>
          <w:sz w:val="32"/>
          <w:szCs w:val="32"/>
        </w:rPr>
        <w:t>元，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财政资金-年初预算数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8932800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财政资金-全年预算数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" w:hAnsi="仿宋" w:eastAsia="仿宋" w:cs="仿宋"/>
          <w:sz w:val="32"/>
          <w:szCs w:val="32"/>
        </w:rPr>
        <w:t>元，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专户-年初预算数0元，专户全年预算数0元，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单位年初预算数0元，单位全年预算数0元。</w:t>
      </w:r>
    </w:p>
    <w:p>
      <w:pPr>
        <w:pStyle w:val="9"/>
        <w:keepNext w:val="0"/>
        <w:keepLines w:val="0"/>
        <w:widowControl/>
        <w:numPr>
          <w:ilvl w:val="0"/>
          <w:numId w:val="1"/>
        </w:numPr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项目资金（主要是指财政资金）实际使用情况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left="0" w:leftChars="0" w:right="0" w:rightChars="0" w:firstLine="640" w:firstLineChars="200"/>
        <w:textAlignment w:val="auto"/>
        <w:rPr>
          <w:rFonts w:hint="eastAsia" w:ascii="仿宋_GB2312" w:eastAsia="仿宋" w:cs="仿宋_GB2312"/>
          <w:sz w:val="31"/>
          <w:szCs w:val="31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企业职工养老保险补助经费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项目2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eastAsia="仿宋_GB2312" w:cs="仿宋_GB2312"/>
          <w:sz w:val="31"/>
          <w:szCs w:val="31"/>
        </w:rPr>
        <w:t>实际使用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资金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资金执行情况如下：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资金总额-全年执行数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" w:hAnsi="仿宋" w:eastAsia="仿宋" w:cs="仿宋"/>
          <w:sz w:val="32"/>
          <w:szCs w:val="32"/>
        </w:rPr>
        <w:t>元，资金总额-执行率100.00%元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其中：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财政资金-全年执行数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" w:hAnsi="仿宋" w:eastAsia="仿宋" w:cs="仿宋"/>
          <w:sz w:val="32"/>
          <w:szCs w:val="32"/>
        </w:rPr>
        <w:t>元，财政资金-执行率100.00%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专户全年执行数0元，专户-执行率0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单位全年执行数0元，单位全年执行率0</w:t>
      </w:r>
    </w:p>
    <w:p>
      <w:pPr>
        <w:pStyle w:val="9"/>
        <w:keepNext w:val="0"/>
        <w:keepLines w:val="0"/>
        <w:widowControl/>
        <w:numPr>
          <w:ilvl w:val="0"/>
          <w:numId w:val="1"/>
        </w:numPr>
        <w:suppressLineNumbers w:val="0"/>
        <w:spacing w:line="525" w:lineRule="atLeast"/>
        <w:ind w:left="0" w:leftChars="0" w:firstLine="645" w:firstLineChars="0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项目资金管理情况（包括管理制度、办法的制订及执行情况）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eastAsia="仿宋_GB2312" w:cs="仿宋_GB2312"/>
          <w:sz w:val="31"/>
          <w:szCs w:val="31"/>
        </w:rPr>
      </w:pP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bidi="ar-SA"/>
        </w:rPr>
        <w:t>年，市社保局积极探索完善项目管理的有效机制，在贯彻执行国家、省和市社会保险的方针、政策和法律、法规、规章的基础上，积极开展退休人员的养老管理服务工作。项目资金拨付严格审批程序，使用规范，会计核算结果真实、准确。此次绩效评价过程中未发现有截留、挤占或挪用项目资金的情况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三、项目组织实施情况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（一）项目组织情况（包括项目招投标情况、调整情况、完成验收等）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bidi="ar-SA"/>
        </w:rPr>
        <w:t>海口市社保局根据国家和省社会保障的方针政策，制定海口市社会保障工作规划，统筹管理全市社会保障工作，指导各区社会保障服务工作。确保按时足额发放养老金，按国家规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定支付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企业职工养老保险补助经费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9"/>
        <w:keepNext w:val="0"/>
        <w:keepLines w:val="0"/>
        <w:widowControl/>
        <w:numPr>
          <w:ilvl w:val="0"/>
          <w:numId w:val="2"/>
        </w:numPr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项目管理情况（包括项目管理制度建设、日常检查监督等情况）</w:t>
      </w:r>
    </w:p>
    <w:p>
      <w:pPr>
        <w:spacing w:line="560" w:lineRule="exact"/>
        <w:ind w:firstLine="640" w:firstLineChars="200"/>
        <w:rPr>
          <w:rFonts w:hint="default" w:ascii="仿宋_GB2312" w:eastAsia="仿宋_GB2312" w:cs="仿宋_GB2312"/>
          <w:sz w:val="31"/>
          <w:szCs w:val="31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根据国家和省市相关规定，对项目经费的使用严格把控，办公室统筹办理，不以任何理由虚列、截留、挤占、挪用，未超标准开支，资金支出严格按照财务规定执行，确保经费正常使用。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四、项目绩效情况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（一）项目绩效目标完成情况。将项目实际完成情况与申报的绩效目标对比，从项目的经济性、效率性、有效性和可持续性等方面对项目绩效进行量化、具体分析。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年度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发放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企业职工养老保险补助经费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项目预算经费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元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，实际使用金额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(其中：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实际到位资</w:t>
      </w:r>
      <w:bookmarkStart w:id="0" w:name="_GoBack"/>
      <w:bookmarkEnd w:id="0"/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本项目的实施严格按照项目预算科目等有关政策规定进行支付。　　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2. 项目的效率性分析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（1）项目的实施进度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根据项目运行方案，实施严格的项目管理，截止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年12月底项目已经全部实施完成。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（2）项目完成质量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年度，海口市社保局严格执行基本养老金支付稽核制度、养老保险内部控制制度、养老保险业务流程，使养老保险业务操作有章可循，圆满完成该年度的离退休人员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基本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养老金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及各类财政单列项目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发放、调资、养老保险基金收支预算、养老保险数据整理等工作，做好养老保险并轨后公务员的参保工作，各项任务达到了预期目的，取得了较好效果。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效益性分析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（1）项目预期目标完成程度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企业职工养老保险补助经费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项目2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，实际到位资金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，实际使用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9074800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3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项目实施对经济和社会的影响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bidi="ar-SA"/>
        </w:rPr>
        <w:t>海口市社保局认真贯彻执行国家社会保险工作的方针、政策、法规，养老保险工作取得了稳步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发展，使离退休人员的晚年生活得到了最基本的生活保障，从而维护社会的稳定，对促进社会和谐具有重要意义。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4. 项目的可持续性分析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养老保险管理服务工作是一项艰巨而复杂的工作，内容多，涉及面广。海口市社保局应继续认真贯彻实施《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海南省企业职工基本养老保险若干规定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》，做好相关人员养老保险待遇的支付，确保按时足额发放养老金。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（二）项目绩效目标未完成情况及原因分析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五、其他需要说明的问题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（一）后续工作计划</w:t>
      </w:r>
    </w:p>
    <w:p>
      <w:pPr>
        <w:spacing w:line="560" w:lineRule="exact"/>
        <w:ind w:firstLine="640" w:firstLineChars="200"/>
        <w:rPr>
          <w:rFonts w:hint="default" w:ascii="仿宋_GB2312" w:eastAsia="仿宋_GB2312" w:cs="仿宋_GB2312"/>
          <w:sz w:val="31"/>
          <w:szCs w:val="31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下一步继续把“收、管、支”作为工作重点，持续做好全市离退休人员养老金社会化发放工作，确保离退休人员按时足额领取养老金，过上祥和安康的晚年。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（二）主要经验及做法、存在问题和建议</w:t>
      </w:r>
    </w:p>
    <w:p>
      <w:pPr>
        <w:pStyle w:val="9"/>
        <w:keepNext w:val="0"/>
        <w:keepLines w:val="0"/>
        <w:widowControl/>
        <w:suppressLineNumbers w:val="0"/>
        <w:ind w:firstLine="640" w:firstLineChars="200"/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养老保险经办人员不足，管理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服务水平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有待提高。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A5A2"/>
    <w:multiLevelType w:val="singleLevel"/>
    <w:tmpl w:val="1DF2A5A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26E18B4A"/>
    <w:multiLevelType w:val="singleLevel"/>
    <w:tmpl w:val="26E18B4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34626BC"/>
    <w:multiLevelType w:val="singleLevel"/>
    <w:tmpl w:val="634626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3777"/>
    <w:rsid w:val="01343DB9"/>
    <w:rsid w:val="04B42130"/>
    <w:rsid w:val="08C31AC1"/>
    <w:rsid w:val="09D17F5D"/>
    <w:rsid w:val="09DB0351"/>
    <w:rsid w:val="0DC83943"/>
    <w:rsid w:val="109311E1"/>
    <w:rsid w:val="125B13CD"/>
    <w:rsid w:val="13C4697B"/>
    <w:rsid w:val="152B6AC7"/>
    <w:rsid w:val="15D9495A"/>
    <w:rsid w:val="1B504FF4"/>
    <w:rsid w:val="1E9F6093"/>
    <w:rsid w:val="2513509B"/>
    <w:rsid w:val="254C558C"/>
    <w:rsid w:val="26C617A1"/>
    <w:rsid w:val="29D320D8"/>
    <w:rsid w:val="2A370296"/>
    <w:rsid w:val="2AFB1F20"/>
    <w:rsid w:val="2F453EB0"/>
    <w:rsid w:val="34501767"/>
    <w:rsid w:val="38292828"/>
    <w:rsid w:val="3E7C176F"/>
    <w:rsid w:val="3F2D1231"/>
    <w:rsid w:val="45455D14"/>
    <w:rsid w:val="46730008"/>
    <w:rsid w:val="4F1E7BAB"/>
    <w:rsid w:val="52583352"/>
    <w:rsid w:val="574E029E"/>
    <w:rsid w:val="5DCC6ED7"/>
    <w:rsid w:val="60690A62"/>
    <w:rsid w:val="66793705"/>
    <w:rsid w:val="77F54709"/>
    <w:rsid w:val="789D1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Office_11.8.2.8875_F1E327BC-269C-435d-A152-05C5408002CA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2023-03-08T01:54:00Z</dcterms:created>
  <dc:creator>Administrator</dc:creator>
  <cp:lastModifiedBy>Administrator</cp:lastModifiedBy>
  <dcterms:modified xsi:type="dcterms:W3CDTF">2024-03-13T06:17:19Z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