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180"/>
        <w:jc w:val="center"/>
        <w:textAlignment w:val="auto"/>
        <w:rPr>
          <w:rStyle w:val="8"/>
          <w:rFonts w:hint="default" w:ascii="Times New Roman" w:hAnsi="Times New Roman" w:eastAsia="宋体" w:cs="Times New Roman"/>
          <w:b/>
          <w:sz w:val="48"/>
          <w:szCs w:val="48"/>
          <w:lang w:val="en-US" w:eastAsia="zh-CN" w:bidi="ar"/>
        </w:rPr>
      </w:pPr>
      <w:r>
        <w:rPr>
          <w:rStyle w:val="8"/>
          <w:rFonts w:hint="eastAsia" w:ascii="Times New Roman" w:hAnsi="Times New Roman" w:eastAsia="宋体" w:cs="宋体"/>
          <w:b/>
          <w:sz w:val="48"/>
          <w:szCs w:val="48"/>
          <w:lang w:val="en-US" w:eastAsia="zh-CN" w:bidi="ar"/>
        </w:rPr>
        <w:t>海口市财政支出项目绩效自评报告</w:t>
      </w:r>
      <w:r>
        <w:rPr>
          <w:rStyle w:val="8"/>
          <w:rFonts w:hint="default" w:ascii="Times New Roman" w:hAnsi="Times New Roman" w:eastAsia="宋体" w:cs="Times New Roman"/>
          <w:b/>
          <w:sz w:val="48"/>
          <w:szCs w:val="48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180"/>
        <w:jc w:val="center"/>
        <w:textAlignment w:val="auto"/>
        <w:rPr>
          <w:rStyle w:val="8"/>
          <w:rFonts w:hint="eastAsia" w:ascii="Times New Roman" w:hAnsi="Times New Roman" w:eastAsia="宋体" w:cs="宋体"/>
          <w:b/>
          <w:sz w:val="48"/>
          <w:szCs w:val="48"/>
          <w:lang w:val="en-US" w:eastAsia="zh-CN" w:bidi="ar"/>
        </w:rPr>
      </w:pPr>
      <w:r>
        <w:rPr>
          <w:rStyle w:val="8"/>
          <w:rFonts w:hint="eastAsia" w:ascii="Times New Roman" w:hAnsi="Times New Roman" w:cs="宋体"/>
          <w:b/>
          <w:sz w:val="48"/>
          <w:szCs w:val="48"/>
          <w:lang w:val="en-US" w:eastAsia="zh-CN" w:bidi="ar"/>
        </w:rPr>
        <w:t>非公经济组织党建工作培训</w:t>
      </w:r>
      <w:r>
        <w:rPr>
          <w:rStyle w:val="8"/>
          <w:rFonts w:hint="eastAsia" w:ascii="Times New Roman" w:hAnsi="Times New Roman" w:eastAsia="宋体" w:cs="宋体"/>
          <w:b/>
          <w:sz w:val="48"/>
          <w:szCs w:val="48"/>
          <w:lang w:val="en-US" w:eastAsia="zh-CN" w:bidi="ar"/>
        </w:rPr>
        <w:t>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180"/>
        <w:jc w:val="center"/>
        <w:textAlignment w:val="auto"/>
        <w:rPr>
          <w:rStyle w:val="8"/>
          <w:rFonts w:hint="eastAsia" w:ascii="Times New Roman" w:hAnsi="Times New Roman" w:eastAsia="宋体" w:cs="宋体"/>
          <w:b/>
          <w:sz w:val="48"/>
          <w:szCs w:val="4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 xml:space="preserve">一、项目概况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（一）项目基本情况：预算单位海口市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工商业联合会的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：非公经济组织党建工作培训项目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主管部门为海口市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工商业联合会，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项目负责人为：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廖长征，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联系电话：139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76319686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项目概述如下：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非公经济组织党建工作培训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项目属部门（单位）确定的经常性项目，本项目共计190355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资金，主要用于：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组织非公企业党组织书记、企业党员出资人共50名，于2021年10月24日至10月30日在革命圣地井冈山，开展为期七天的党性锻炼培训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项目年度预算绩效目标和绩效指标设定情况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培训采取专家学者授课、现场教学等方式进行。通过培训，进一步加强党性修养，坚定理想信念，保持优良作风，激发干事创业热情；继承和弘扬井冈山精神，努力提高自身综合素质和党性修养，提升做好党建工作的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举办非公经济组织党建工作培训，提高民营企业党支部书记和党员出资人的综合素质，参加培训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对象满意度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99%以上。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当年年度目标完成情况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：已完成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二、项目决策及资金使用管理情况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（一）项目决策情况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项目确定前按“重大事项审议制度”进行了党组会集体研究后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并向纪检派驻组报告。同时，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委托有资质培训代理机构组织运作整个培训工作，利用集体决策使资金使用效率更加合理，各项支出严格按照财务管理制度等执行。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（二）项目资金安排落实、总投入等情况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预算情况如下：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资金总额-年初预算数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25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0000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元，资金总额-全年预算数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190355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财政资金-年初预算数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250000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元财政资金-全年预算数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190355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专户-年初预算数0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元，专户全年预算数0元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单位年初预算数0元，单位全年预算数0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516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（三）项目资金实际使用情况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资金执行情况如下：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资金总额-全年执行数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190355</w:t>
      </w: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元，资金总额-执行率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100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 w:bidi="ar"/>
        </w:rPr>
        <w:t>%</w:t>
      </w: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元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其中：财政资金-全年执行数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190355</w:t>
      </w: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元，财政资金-执行率</w:t>
      </w:r>
      <w:r>
        <w:rPr>
          <w:rFonts w:hint="eastAsia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100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 w:bidi="ar"/>
        </w:rPr>
        <w:t>%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专户全年执行数0元，专户-执行率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 w:bidi="ar"/>
        </w:rPr>
        <w:t>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楷体_GB2312"/>
          <w:kern w:val="0"/>
          <w:sz w:val="32"/>
          <w:szCs w:val="32"/>
          <w:lang w:val="en-US" w:eastAsia="zh-CN" w:bidi="ar"/>
        </w:rPr>
        <w:t>单位全年执行数0元，单位全年执行率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 w:bidi="ar"/>
        </w:rPr>
        <w:t>0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516" w:leftChars="0" w:right="0" w:rightChars="0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项目资金实际使用情况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项目所有资金实行专款专用。项目支出均有相关的授权审批，资金拨付严格审批程序，使用规范，会计核算结果真实、准确。项目单位建立健全项目实施预算方案、财务管理制度和会计核算制度，此次绩效评价过程中未发现有截留、挤占或挪用项目资金的情况。</w:t>
      </w:r>
    </w:p>
    <w:p>
      <w:pPr>
        <w:spacing w:line="578" w:lineRule="exact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三、项目组织实施情况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（一）项目组织情况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项目属于经常性项目，没有达到招投标权限，由本单位自行组织实施。实施过程都是按照本单位制定的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管理制度来执行。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项目管理情况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项目目标设定依据充分、明确、合理，项目建设符合省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相关规定。项目实施过程中，根据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我会的</w:t>
      </w:r>
      <w:r>
        <w:rPr>
          <w:rFonts w:hint="eastAsia" w:ascii="仿宋" w:hAnsi="仿宋" w:eastAsia="仿宋" w:cs="仿宋"/>
          <w:sz w:val="32"/>
          <w:szCs w:val="32"/>
        </w:rPr>
        <w:t>实际情况制定相应的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方案，再严格按照权限，对方案明细进行集体讨论后才作出决定</w:t>
      </w:r>
      <w:r>
        <w:rPr>
          <w:rFonts w:hint="eastAsia" w:ascii="仿宋" w:hAnsi="仿宋" w:eastAsia="仿宋" w:cs="仿宋"/>
          <w:sz w:val="32"/>
          <w:szCs w:val="32"/>
        </w:rPr>
        <w:t>。实现了项目管理与过程管理的有机结合。</w:t>
      </w:r>
    </w:p>
    <w:p>
      <w:pPr>
        <w:spacing w:line="578" w:lineRule="exact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四、项目绩效情况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（一）项目绩效目标完成情况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目标：举办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1期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非公经济组织党建工作培训。完成情况：已完成。按照实施方案，组织举办了1期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非公经济组织党建工作培训。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社会效益指标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目标：培训目标达成率99%以上。完成情况：预算执行进度100%，通过培训，提高了民营企业党支部书记和党员出资人的综合素质。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服务对象满意度指标</w:t>
      </w:r>
    </w:p>
    <w:p>
      <w:pPr>
        <w:numPr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目标：服务对象满意度99%以上。完成情况：民营企业党支部书记和党员出资人满意率100%，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提升了他们做好党建工作的能力。</w:t>
      </w:r>
    </w:p>
    <w:p>
      <w:pPr>
        <w:spacing w:line="578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（二）项目的经济性</w:t>
      </w:r>
    </w:p>
    <w:p>
      <w:pPr>
        <w:spacing w:line="578" w:lineRule="exact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本项目预算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190355</w:t>
      </w:r>
      <w:r>
        <w:rPr>
          <w:rFonts w:hint="eastAsia" w:ascii="仿宋" w:hAnsi="仿宋" w:eastAsia="仿宋" w:cs="仿宋"/>
          <w:sz w:val="32"/>
          <w:szCs w:val="32"/>
        </w:rPr>
        <w:t>元,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于当年支出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190355元，项目实施过程中本着开源节流、厉行节约的原则，严格按照项目预算科目及有关财务政策规定进行支付。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（三）项目的可持续性</w:t>
      </w:r>
    </w:p>
    <w:p>
      <w:pPr>
        <w:ind w:firstLine="64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面对非公经济组织党建工作新变化，创新工作新思路，推动工商联工作进一步向外延伸，我会每年举办非公经济组织党建工作培训，均取得了良好的社会影响力，绩效指标到达设定目标。</w:t>
      </w:r>
      <w:r>
        <w:rPr>
          <w:rFonts w:hint="eastAsia" w:ascii="仿宋" w:hAnsi="仿宋" w:eastAsia="仿宋" w:cs="仿宋"/>
          <w:sz w:val="32"/>
          <w:szCs w:val="32"/>
        </w:rPr>
        <w:t>财政每年均拨付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保障非公经济组织党建工作培训</w:t>
      </w:r>
      <w:r>
        <w:rPr>
          <w:rFonts w:hint="eastAsia" w:ascii="仿宋" w:hAnsi="仿宋" w:eastAsia="仿宋" w:cs="仿宋"/>
          <w:sz w:val="32"/>
          <w:szCs w:val="32"/>
        </w:rPr>
        <w:t>经费,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确保经常性的服务企业工作不间断、可持续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（四）项目实施对经济和社会的影响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实施该</w:t>
      </w:r>
      <w:r>
        <w:rPr>
          <w:rFonts w:hint="eastAsia" w:ascii="仿宋" w:hAnsi="仿宋" w:eastAsia="仿宋" w:cs="仿宋"/>
          <w:sz w:val="32"/>
          <w:szCs w:val="32"/>
        </w:rPr>
        <w:t>项目既是贯彻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落实上级</w:t>
      </w:r>
      <w:r>
        <w:rPr>
          <w:rFonts w:hint="eastAsia" w:ascii="仿宋" w:hAnsi="仿宋" w:eastAsia="仿宋" w:cs="仿宋"/>
          <w:sz w:val="32"/>
          <w:szCs w:val="32"/>
        </w:rPr>
        <w:t>文件的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必然要求</w:t>
      </w:r>
      <w:r>
        <w:rPr>
          <w:rFonts w:hint="eastAsia" w:ascii="仿宋" w:hAnsi="仿宋" w:eastAsia="仿宋" w:cs="仿宋"/>
          <w:sz w:val="32"/>
          <w:szCs w:val="32"/>
        </w:rPr>
        <w:t>，也是工商联服务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会员企业的</w:t>
      </w:r>
      <w:r>
        <w:rPr>
          <w:rFonts w:hint="eastAsia" w:ascii="仿宋" w:hAnsi="仿宋" w:eastAsia="仿宋" w:cs="仿宋"/>
          <w:sz w:val="32"/>
          <w:szCs w:val="32"/>
        </w:rPr>
        <w:t>重要抓手，此次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非公经济组织党建工作培训项目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工商联今后经常性工作</w:t>
      </w:r>
      <w:r>
        <w:rPr>
          <w:rFonts w:hint="eastAsia" w:ascii="仿宋" w:hAnsi="仿宋" w:eastAsia="仿宋" w:cs="仿宋"/>
          <w:sz w:val="32"/>
          <w:szCs w:val="32"/>
        </w:rPr>
        <w:t>的重要内容和基础环节。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项目实施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对民营企业进行指导服务，促进我会会员企业党建工作的规范化建设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ind w:left="642"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（五）综合评价情况及评价结论。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2021年，非公经济组织党建工作培训项目在目标设定、决策过程、资金到位、资金管理、组织实施、项目效果等方面落实情况较好，</w:t>
      </w:r>
      <w:r>
        <w:rPr>
          <w:rFonts w:hint="eastAsia" w:ascii="仿宋" w:hAnsi="仿宋" w:eastAsia="仿宋" w:cs="仿宋"/>
          <w:sz w:val="32"/>
          <w:szCs w:val="32"/>
        </w:rPr>
        <w:t>该项目从可持续发展角度而言，整体发挥的社会效益明显，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加强了对会员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的指导和服务力度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对民营企业工作发挥了积极的促进作用。</w:t>
      </w:r>
      <w:r>
        <w:rPr>
          <w:rFonts w:hint="eastAsia" w:ascii="仿宋" w:hAnsi="仿宋" w:eastAsia="仿宋" w:cs="仿宋"/>
          <w:sz w:val="32"/>
          <w:szCs w:val="32"/>
        </w:rPr>
        <w:t>经评价小组综合分析，项目平均分为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99 </w:t>
      </w:r>
      <w:r>
        <w:rPr>
          <w:rFonts w:hint="eastAsia" w:ascii="仿宋" w:hAnsi="仿宋" w:eastAsia="仿宋" w:cs="仿宋"/>
          <w:sz w:val="32"/>
          <w:szCs w:val="32"/>
        </w:rPr>
        <w:t>分，评价结果为优。</w:t>
      </w:r>
    </w:p>
    <w:p>
      <w:pPr>
        <w:numPr>
          <w:ilvl w:val="0"/>
          <w:numId w:val="3"/>
        </w:numPr>
        <w:spacing w:line="578" w:lineRule="exact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其他需要说明的问题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（一）后续工作计划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随着社会的发展，面对形势的新变化和新任务，非公经济组织党建工作将不断深化和提升，今后需要进一步加强非公组织党建工作培训工作。非公经济组织党建工作培训项目是经常性项目，希望市财政部门能够给以充足项目资金保障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（二）主要经验及做法、存在问题和建议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主要经验及做法：1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会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领导高度重视，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拟定详细的培训计划，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落实责任分工。2.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各非公企业党组织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密切配合，通力协作，确保工作实效。3.明确委托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培训机构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责任，加强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预算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过程监督检查,确保完成绩效目标。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存在问题：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由于经费少，举办培训期数太少，参与培训对象人数较少，企业培训覆盖面不广。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建议：暂无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海口市工商业联合会</w:t>
      </w:r>
    </w:p>
    <w:p>
      <w:pPr>
        <w:numPr>
          <w:numId w:val="0"/>
        </w:num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66170"/>
    <w:multiLevelType w:val="singleLevel"/>
    <w:tmpl w:val="8C3661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1E77050"/>
    <w:multiLevelType w:val="singleLevel"/>
    <w:tmpl w:val="91E7705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904CC02"/>
    <w:multiLevelType w:val="singleLevel"/>
    <w:tmpl w:val="6904CC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C607D"/>
    <w:rsid w:val="0BA91D25"/>
    <w:rsid w:val="0CD9682F"/>
    <w:rsid w:val="178D63D5"/>
    <w:rsid w:val="2676344D"/>
    <w:rsid w:val="2AF76DFB"/>
    <w:rsid w:val="34400B26"/>
    <w:rsid w:val="51571B0E"/>
    <w:rsid w:val="575F65C4"/>
    <w:rsid w:val="5B171D9D"/>
    <w:rsid w:val="5E0F5051"/>
    <w:rsid w:val="5F1B2D56"/>
    <w:rsid w:val="788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lang w:val="en-US" w:eastAsia="zh-CN" w:bidi="ar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8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2022-10-15T09:33:49Z</dcterms:created>
  <dc:creator>hp</dc:creator>
  <cp:lastModifiedBy>未知</cp:lastModifiedBy>
  <dcterms:modified xsi:type="dcterms:W3CDTF">2022-10-15T12:41:46Z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