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pacing w:val="-20"/>
          <w:sz w:val="44"/>
          <w:szCs w:val="44"/>
          <w:highlight w:val="none"/>
          <w:lang w:eastAsia="zh-CN"/>
        </w:rPr>
        <w:t>海口市琼山区桂林片区（二期）城市更新项目（农科所部分）征收补偿安置方案</w:t>
      </w:r>
      <w:bookmarkStart w:id="0" w:name="_GoBack"/>
      <w:bookmarkEnd w:id="0"/>
    </w:p>
    <w:p>
      <w:pPr>
        <w:widowControl/>
        <w:rPr>
          <w:rFonts w:hint="default" w:ascii="宋体" w:hAnsi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  <w:t xml:space="preserve">    </w:t>
      </w:r>
    </w:p>
    <w:p>
      <w:pPr>
        <w:pStyle w:val="11"/>
        <w:ind w:firstLine="0" w:firstLineChars="0"/>
        <w:jc w:val="center"/>
        <w:rPr>
          <w:rFonts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Hans"/>
        </w:rPr>
        <w:t>第一章</w:t>
      </w:r>
      <w:r>
        <w:rPr>
          <w:rFonts w:ascii="黑体" w:hAnsi="黑体" w:eastAsia="黑体" w:cs="黑体"/>
          <w:b/>
          <w:bCs/>
          <w:sz w:val="32"/>
          <w:szCs w:val="32"/>
          <w:highlight w:val="none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总则</w:t>
      </w:r>
    </w:p>
    <w:p>
      <w:pPr>
        <w:spacing w:line="560" w:lineRule="exact"/>
        <w:ind w:firstLine="640" w:firstLineChars="200"/>
        <w:rPr>
          <w:rFonts w:eastAsia="仿宋_GB2312" w:cs="Times New Roman"/>
          <w:bCs/>
          <w:sz w:val="32"/>
          <w:szCs w:val="32"/>
          <w:highlight w:val="none"/>
          <w:lang w:eastAsia="zh-CN"/>
        </w:rPr>
      </w:pPr>
    </w:p>
    <w:p>
      <w:pPr>
        <w:pStyle w:val="10"/>
        <w:spacing w:line="560" w:lineRule="exact"/>
        <w:ind w:left="0" w:firstLine="671" w:firstLineChars="200"/>
        <w:jc w:val="both"/>
        <w:outlineLvl w:val="9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pacing w:val="7"/>
          <w:sz w:val="32"/>
          <w:szCs w:val="32"/>
          <w:highlight w:val="none"/>
          <w:lang w:val="en-US" w:eastAsia="zh-CN" w:bidi="ar-SA"/>
        </w:rPr>
        <w:t>第一条</w:t>
      </w:r>
      <w:r>
        <w:rPr>
          <w:rFonts w:hint="eastAsia" w:ascii="仿宋" w:hAnsi="仿宋" w:eastAsia="仿宋" w:cs="仿宋"/>
          <w:spacing w:val="7"/>
          <w:sz w:val="32"/>
          <w:szCs w:val="32"/>
          <w:highlight w:val="none"/>
          <w:lang w:val="en-US" w:eastAsia="zh-CN" w:bidi="ar-SA"/>
        </w:rPr>
        <w:t xml:space="preserve"> 为规范海口市琼山区桂林片区（二期）城市更新项目琼山区农业农村科学研究所部分和约4.2亩边角地（以下简称“本项目”）补偿安置工作，维护公共利益，保障被征收人</w:t>
      </w:r>
      <w:r>
        <w:rPr>
          <w:rFonts w:hint="eastAsia" w:ascii="仿宋" w:hAnsi="仿宋" w:eastAsia="仿宋" w:cs="仿宋"/>
          <w:spacing w:val="18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pacing w:val="18"/>
          <w:sz w:val="32"/>
          <w:szCs w:val="32"/>
          <w:highlight w:val="none"/>
        </w:rPr>
        <w:t>合法权益</w:t>
      </w:r>
      <w:r>
        <w:rPr>
          <w:rFonts w:hint="eastAsia" w:ascii="仿宋" w:hAnsi="仿宋" w:eastAsia="仿宋" w:cs="仿宋"/>
          <w:spacing w:val="18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根据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《中华人民共和国民法典》《中华人民共和国土地管理法》《中华人民共和国城乡规划法》《国有土地上房屋征收与补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偿条例》（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国务院令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590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Hans" w:bidi="ar"/>
          <w14:textFill>
            <w14:solidFill>
              <w14:schemeClr w14:val="tx1"/>
            </w14:solidFill>
          </w14:textFill>
        </w:rPr>
        <w:t>号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Hans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《海南自由贸易港征收征用条例》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《海口市城市更新实施指导意见（试行）》（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海府办〔2022〕36号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海口市国有土地上房屋征收补偿安置办法》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海府办规〔2021〕11号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）等法律法规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Hans" w:bidi="ar"/>
          <w14:textFill>
            <w14:solidFill>
              <w14:schemeClr w14:val="tx1"/>
            </w14:solidFill>
          </w14:textFill>
        </w:rPr>
        <w:t>和国家有关政策规定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结合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Hans"/>
        </w:rPr>
        <w:t>本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eastAsia="zh-CN"/>
        </w:rPr>
        <w:t>实际情况，制定本方案。</w:t>
      </w:r>
    </w:p>
    <w:p>
      <w:pPr>
        <w:spacing w:line="600" w:lineRule="exact"/>
        <w:ind w:firstLine="645"/>
        <w:rPr>
          <w:rFonts w:eastAsia="仿宋_GB2312" w:cs="Times New Roman"/>
          <w:bCs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Hans"/>
        </w:rPr>
        <w:t>二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spacing w:val="11"/>
          <w:sz w:val="32"/>
          <w:szCs w:val="32"/>
          <w:highlight w:val="none"/>
        </w:rPr>
        <w:t>本项目补偿安置工作遵循“程序合法、公开公正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、公平合理”的原则。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eastAsia="仿宋_GB2312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Hans"/>
        </w:rPr>
        <w:t>三</w:t>
      </w:r>
      <w:r>
        <w:rPr>
          <w:rFonts w:hint="eastAsia" w:eastAsia="仿宋_GB2312" w:cs="Times New Roman"/>
          <w:b/>
          <w:sz w:val="32"/>
          <w:szCs w:val="32"/>
          <w:highlight w:val="none"/>
          <w:lang w:eastAsia="zh-CN"/>
        </w:rPr>
        <w:t xml:space="preserve">条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海口市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琼山区人民政府作为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征收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主体（以下简称“区政府”），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海口市琼山区土地和房屋征收服务中心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（以下简称“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征收中心”）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作为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本项目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征收部门，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lang w:eastAsia="zh-CN"/>
        </w:rPr>
        <w:t>海口市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lang w:eastAsia="zh-Hans"/>
        </w:rPr>
        <w:t>琼山区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lang w:eastAsia="zh-CN"/>
        </w:rPr>
        <w:t>桂林片区（二期）城市更新项目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指挥部（以下简称“项目指挥部”）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作为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本项目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实施单位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Hans"/>
        </w:rPr>
        <w:t>四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本项目范围：</w:t>
      </w:r>
      <w:r>
        <w:rPr>
          <w:rFonts w:hint="eastAsia" w:ascii="仿宋" w:hAnsi="仿宋" w:eastAsia="仿宋" w:cs="仿宋"/>
          <w:spacing w:val="-12"/>
          <w:sz w:val="32"/>
          <w:szCs w:val="32"/>
          <w:highlight w:val="none"/>
        </w:rPr>
        <w:t>东至</w:t>
      </w:r>
      <w:r>
        <w:rPr>
          <w:rFonts w:hint="eastAsia" w:ascii="仿宋" w:hAnsi="仿宋" w:eastAsia="仿宋" w:cs="仿宋"/>
          <w:spacing w:val="-12"/>
          <w:sz w:val="32"/>
          <w:szCs w:val="32"/>
          <w:highlight w:val="none"/>
          <w:lang w:val="en-US" w:eastAsia="zh-CN"/>
        </w:rPr>
        <w:t>琼山区农业农村科学研究所土地权属范围边界，</w:t>
      </w:r>
      <w:r>
        <w:rPr>
          <w:rFonts w:hint="eastAsia" w:ascii="仿宋" w:hAnsi="仿宋" w:eastAsia="仿宋" w:cs="仿宋"/>
          <w:spacing w:val="-12"/>
          <w:sz w:val="32"/>
          <w:szCs w:val="32"/>
          <w:highlight w:val="none"/>
        </w:rPr>
        <w:t>南至</w:t>
      </w:r>
      <w:r>
        <w:rPr>
          <w:rFonts w:hint="eastAsia" w:ascii="仿宋" w:hAnsi="仿宋" w:eastAsia="仿宋" w:cs="仿宋"/>
          <w:spacing w:val="-12"/>
          <w:sz w:val="32"/>
          <w:szCs w:val="32"/>
          <w:highlight w:val="none"/>
          <w:lang w:val="en-US" w:eastAsia="zh-CN"/>
        </w:rPr>
        <w:t>桂林一期（联合广场项目），</w:t>
      </w:r>
      <w:r>
        <w:rPr>
          <w:rFonts w:hint="eastAsia" w:ascii="仿宋" w:hAnsi="仿宋" w:eastAsia="仿宋" w:cs="仿宋"/>
          <w:spacing w:val="-8"/>
          <w:sz w:val="32"/>
          <w:szCs w:val="32"/>
          <w:highlight w:val="none"/>
        </w:rPr>
        <w:t>西</w:t>
      </w:r>
      <w:r>
        <w:rPr>
          <w:rFonts w:hint="eastAsia" w:ascii="仿宋" w:hAnsi="仿宋" w:eastAsia="仿宋" w:cs="仿宋"/>
          <w:spacing w:val="9"/>
          <w:sz w:val="32"/>
          <w:szCs w:val="32"/>
          <w:highlight w:val="none"/>
        </w:rPr>
        <w:t>至</w:t>
      </w:r>
      <w:r>
        <w:rPr>
          <w:rFonts w:hint="eastAsia" w:ascii="仿宋" w:hAnsi="仿宋" w:eastAsia="仿宋" w:cs="仿宋"/>
          <w:spacing w:val="9"/>
          <w:sz w:val="32"/>
          <w:szCs w:val="32"/>
          <w:highlight w:val="none"/>
          <w:lang w:val="en-US" w:eastAsia="zh-CN"/>
        </w:rPr>
        <w:t>规划琼桂路</w:t>
      </w:r>
      <w:r>
        <w:rPr>
          <w:rFonts w:hint="eastAsia" w:ascii="仿宋" w:hAnsi="仿宋" w:eastAsia="仿宋" w:cs="仿宋"/>
          <w:spacing w:val="9"/>
          <w:sz w:val="32"/>
          <w:szCs w:val="32"/>
          <w:highlight w:val="none"/>
        </w:rPr>
        <w:t>，北至</w:t>
      </w:r>
      <w:r>
        <w:rPr>
          <w:rFonts w:hint="eastAsia" w:ascii="仿宋" w:hAnsi="仿宋" w:eastAsia="仿宋" w:cs="仿宋"/>
          <w:spacing w:val="9"/>
          <w:sz w:val="32"/>
          <w:szCs w:val="32"/>
          <w:highlight w:val="none"/>
          <w:lang w:val="en-US" w:eastAsia="zh-CN"/>
        </w:rPr>
        <w:t>规划路网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具体征收范围以海口市人民政府批准的规划红线为准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。在项目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征收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范围内的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房屋、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建（构）筑物均列为被征收对象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  <w:lang w:eastAsia="zh-CN"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Hans" w:bidi="ar"/>
        </w:rPr>
        <w:t>五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  <w:lang w:eastAsia="zh-CN" w:bidi="ar"/>
        </w:rPr>
        <w:t xml:space="preserve">条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本项目采取产权调换、货币补偿、产权调换与货币补偿相结合三种补偿安置方式，具体形式由被征收人根据本方案自行选择。</w:t>
      </w:r>
    </w:p>
    <w:p>
      <w:pPr>
        <w:spacing w:line="600" w:lineRule="exact"/>
        <w:ind w:firstLine="643" w:firstLineChars="200"/>
        <w:rPr>
          <w:rFonts w:eastAsia="仿宋_GB2312" w:cs="Times New Roman"/>
          <w:bCs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Hans"/>
        </w:rPr>
        <w:t>六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Hans"/>
        </w:rPr>
        <w:t>本项目实行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>就</w:t>
      </w:r>
      <w:r>
        <w:rPr>
          <w:rFonts w:hint="eastAsia" w:eastAsia="仿宋_GB2312" w:cs="Times New Roman"/>
          <w:bCs/>
          <w:sz w:val="32"/>
          <w:szCs w:val="32"/>
          <w:highlight w:val="none"/>
          <w:lang w:val="en-US" w:eastAsia="zh-CN"/>
        </w:rPr>
        <w:t>地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>回迁安置。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pacing w:val="-5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Hans"/>
        </w:rPr>
        <w:t>七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区政府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应当依照法律规定使用专项资金，确保按时发放、补偿到位，并定期向有关部门报送资金使用情况。</w:t>
      </w:r>
    </w:p>
    <w:p>
      <w:pPr>
        <w:tabs>
          <w:tab w:val="left" w:pos="2960"/>
        </w:tabs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  <w:lang w:eastAsia="zh-CN" w:bidi="ar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  <w:lang w:eastAsia="zh-Hans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 w:bidi="ar"/>
        </w:rPr>
        <w:t>第二章  补偿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Hans" w:bidi="ar"/>
        </w:rPr>
        <w:t>安置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</w:t>
      </w:r>
    </w:p>
    <w:p>
      <w:pPr>
        <w:widowControl/>
        <w:numPr>
          <w:ilvl w:val="0"/>
          <w:numId w:val="0"/>
        </w:numPr>
        <w:spacing w:line="560" w:lineRule="exact"/>
        <w:ind w:firstLine="623" w:firstLineChars="20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trike w:val="0"/>
          <w:dstrike w:val="0"/>
          <w:spacing w:val="-5"/>
          <w:sz w:val="32"/>
          <w:szCs w:val="32"/>
          <w:highlight w:val="none"/>
          <w:u w:val="none"/>
          <w:lang w:val="en-US" w:eastAsia="zh-CN"/>
        </w:rPr>
        <w:t xml:space="preserve">第八条 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 w:bidi="ar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Hans" w:bidi="ar"/>
        </w:rPr>
        <w:t>有国有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 w:bidi="ar"/>
        </w:rPr>
        <w:t>土地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Hans" w:bidi="ar"/>
        </w:rPr>
        <w:t>使用权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 w:bidi="ar"/>
        </w:rPr>
        <w:t>证或不动产权证的空地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 w:bidi="ar"/>
        </w:rPr>
        <w:t>（不含个人住宅用地）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 w:bidi="ar"/>
        </w:rPr>
        <w:t>，涉及闲置土地的，由市自然资源和规划部门依法处置。不涉及闲置土地的，按照评估价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 w:bidi="ar"/>
        </w:rPr>
        <w:t>予以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 w:bidi="ar"/>
        </w:rPr>
        <w:t>货币补偿。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第九条 </w:t>
      </w:r>
      <w:r>
        <w:rPr>
          <w:rFonts w:hint="eastAsia" w:eastAsia="仿宋_GB2312" w:cs="Times New Roman"/>
          <w:bCs/>
          <w:color w:val="auto"/>
          <w:sz w:val="32"/>
          <w:szCs w:val="32"/>
          <w:highlight w:val="none"/>
          <w:lang w:eastAsia="zh-CN"/>
        </w:rPr>
        <w:t>其他附属物按照评估价补偿，青苗补偿按照省</w:t>
      </w:r>
      <w:r>
        <w:rPr>
          <w:rFonts w:hint="eastAsia" w:eastAsia="仿宋_GB2312" w:cs="Times New Roman"/>
          <w:bCs/>
          <w:color w:val="auto"/>
          <w:sz w:val="32"/>
          <w:szCs w:val="32"/>
          <w:highlight w:val="none"/>
          <w:lang w:eastAsia="zh-Hans"/>
        </w:rPr>
        <w:t>市相关</w:t>
      </w:r>
      <w:r>
        <w:rPr>
          <w:rFonts w:hint="eastAsia" w:eastAsia="仿宋_GB2312" w:cs="Times New Roman"/>
          <w:bCs/>
          <w:color w:val="auto"/>
          <w:sz w:val="32"/>
          <w:szCs w:val="32"/>
          <w:highlight w:val="none"/>
          <w:lang w:eastAsia="zh-CN"/>
        </w:rPr>
        <w:t>标准执行。</w:t>
      </w:r>
    </w:p>
    <w:p>
      <w:pPr>
        <w:widowControl/>
        <w:numPr>
          <w:ilvl w:val="0"/>
          <w:numId w:val="0"/>
        </w:num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被征收房屋为非住宅类房屋，按照房屋性质用途等评估补偿。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被征收房屋为房改政策购买的住宅类房屋，根据土地、房屋的性质、用途和区位等因素，按照类似房地产的市场价格评估。</w:t>
      </w:r>
    </w:p>
    <w:p>
      <w:pPr>
        <w:spacing w:line="560" w:lineRule="exact"/>
        <w:ind w:firstLine="643" w:firstLineChars="200"/>
        <w:jc w:val="both"/>
        <w:rPr>
          <w:rFonts w:hint="default" w:ascii="仿宋_GB2312" w:eastAsia="仿宋_GB2312" w:cs="Times New Roman"/>
          <w:snapToGrid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napToGrid w:val="0"/>
          <w:sz w:val="32"/>
          <w:szCs w:val="32"/>
          <w:highlight w:val="none"/>
          <w:lang w:eastAsia="zh-CN"/>
        </w:rPr>
        <w:t>第</w:t>
      </w:r>
      <w:r>
        <w:rPr>
          <w:rFonts w:hint="eastAsia" w:ascii="仿宋_GB2312" w:eastAsia="仿宋_GB2312" w:cs="Times New Roman"/>
          <w:b/>
          <w:bCs/>
          <w:snapToGrid w:val="0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_GB2312" w:eastAsia="仿宋_GB2312" w:cs="Times New Roman"/>
          <w:b/>
          <w:bCs/>
          <w:snapToGrid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按房改政策购买且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有合法权属证书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的公有住房</w:t>
      </w:r>
      <w:r>
        <w:rPr>
          <w:rFonts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应安置面积为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证件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记载的房屋面积。权属证书未标明建筑面积和套内面积的单位住房，以证书记载面积并结合实际购买面积予以确认应安置套内面积。</w:t>
      </w:r>
    </w:p>
    <w:p>
      <w:pPr>
        <w:widowControl/>
        <w:spacing w:line="560" w:lineRule="exact"/>
        <w:ind w:firstLine="643" w:firstLineChars="200"/>
        <w:jc w:val="both"/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napToGrid w:val="0"/>
          <w:sz w:val="32"/>
          <w:szCs w:val="32"/>
          <w:highlight w:val="none"/>
          <w:lang w:val="en-US" w:eastAsia="zh-CN"/>
        </w:rPr>
        <w:t xml:space="preserve">第十二条 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按房改政策购买但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Hans"/>
        </w:rPr>
        <w:t>无合法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权属证书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Hans"/>
        </w:rPr>
        <w:t>的房屋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按以下方式处理：</w:t>
      </w:r>
    </w:p>
    <w:p>
      <w:pPr>
        <w:widowControl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（一）职工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按完全产权购买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公有住房，且已缴清相应款项，或缴交了部分房价款但经产权单位同意并由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补足相应房价款的，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按本方案第十一条对购房职工予以补偿和安置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（二）职工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按部分产权购买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公有住房，且已缴清相应房价款项的，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根据产权比例对房屋权利人按本方案第十一条予以补偿和安置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（三）职工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原所购单位公有住房未经省或市房改办批准，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及其配偶的任一方未购买过政策性优惠住房(含购买的房改房、解困房、公有住房、集资房、经济适用住房和限价商品住房)及领取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住房补贴，且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已按房改政策缴交了全部房价款，原产权单位同意放弃产权的，参照本条第(一)项的规定办理；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职工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已按房改政策缴交了部分房价款，原产权单位不同意放弃产权的，参照本条第(二)项的规定办理。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b/>
          <w:bCs/>
          <w:snapToGrid w:val="0"/>
          <w:sz w:val="32"/>
          <w:szCs w:val="32"/>
          <w:highlight w:val="none"/>
          <w:lang w:val="en-US" w:eastAsia="zh-CN"/>
        </w:rPr>
        <w:t>第十三条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选择产权调换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的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按以下规定结算：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面积和应安置面积相等部分不核算差价。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面积小于应安置面积部分，按照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成本价结算。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面积超过应安置面积的，超过应安置面积10平方米（含10平方米）以内的部分,按照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成本价结算；超过应安置面积10平方米以上至20平方米（含20平方米）以内的部分,按照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成本价的1.2倍结算；超出应安置面积20平方米以上的部分，按照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成本价的1.5倍结算。超出应安置面积选取单套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的，只能选取超出应安置面积最小值的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户型。选取多套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的，合计面积不得超过应安置面积30平方米（含30平方米），且按合计面积的超出部分结算。</w:t>
      </w:r>
    </w:p>
    <w:p>
      <w:pPr>
        <w:spacing w:line="560" w:lineRule="exact"/>
        <w:ind w:firstLine="640" w:firstLineChars="200"/>
        <w:jc w:val="both"/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被征收房屋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为带公摊面积的单位住宅楼，选择产权调换的，</w:t>
      </w:r>
      <w:r>
        <w:rPr>
          <w:rFonts w:hint="default" w:ascii="仿宋_GB2312" w:eastAsia="仿宋_GB2312" w:cs="Times New Roman"/>
          <w:strike w:val="0"/>
          <w:dstrike w:val="0"/>
          <w:snapToGrid w:val="0"/>
          <w:sz w:val="32"/>
          <w:szCs w:val="32"/>
          <w:highlight w:val="none"/>
          <w:lang w:val="en-US" w:eastAsia="zh-CN"/>
        </w:rPr>
        <w:t>最大应安置面积为被</w:t>
      </w:r>
      <w:r>
        <w:rPr>
          <w:rFonts w:hint="eastAsia" w:ascii="仿宋_GB2312" w:eastAsia="仿宋_GB2312" w:cs="Times New Roman"/>
          <w:strike w:val="0"/>
          <w:dstrike w:val="0"/>
          <w:snapToGrid w:val="0"/>
          <w:sz w:val="32"/>
          <w:szCs w:val="32"/>
          <w:highlight w:val="none"/>
          <w:lang w:val="en-US" w:eastAsia="zh-CN"/>
        </w:rPr>
        <w:t>改造</w:t>
      </w:r>
      <w:r>
        <w:rPr>
          <w:rFonts w:hint="default" w:ascii="仿宋_GB2312" w:eastAsia="仿宋_GB2312" w:cs="Times New Roman"/>
          <w:strike w:val="0"/>
          <w:dstrike w:val="0"/>
          <w:snapToGrid w:val="0"/>
          <w:sz w:val="32"/>
          <w:szCs w:val="32"/>
          <w:highlight w:val="none"/>
          <w:lang w:val="en-US" w:eastAsia="zh-CN"/>
        </w:rPr>
        <w:t>房屋套内面积，按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征收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房屋</w:t>
      </w:r>
      <w:r>
        <w:rPr>
          <w:rFonts w:hint="default" w:ascii="仿宋_GB2312" w:eastAsia="仿宋_GB2312" w:cs="Times New Roman"/>
          <w:strike w:val="0"/>
          <w:dstrike w:val="0"/>
          <w:snapToGrid w:val="0"/>
          <w:sz w:val="32"/>
          <w:szCs w:val="32"/>
          <w:highlight w:val="none"/>
          <w:lang w:val="en-US" w:eastAsia="zh-CN"/>
        </w:rPr>
        <w:t>套内面积1:1对应</w:t>
      </w:r>
      <w:r>
        <w:rPr>
          <w:rFonts w:hint="eastAsia" w:ascii="仿宋_GB2312" w:eastAsia="仿宋_GB2312" w:cs="Times New Roman"/>
          <w:strike w:val="0"/>
          <w:dstrike w:val="0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trike w:val="0"/>
          <w:dstrike w:val="0"/>
          <w:snapToGrid w:val="0"/>
          <w:sz w:val="32"/>
          <w:szCs w:val="32"/>
          <w:highlight w:val="none"/>
          <w:lang w:val="en-US" w:eastAsia="zh-CN"/>
        </w:rPr>
        <w:t>套内面积进行调换和结算。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选取的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回迁商品房</w:t>
      </w:r>
      <w:r>
        <w:rPr>
          <w:rFonts w:hint="default" w:ascii="仿宋_GB2312" w:eastAsia="仿宋_GB2312" w:cs="Times New Roman"/>
          <w:snapToGrid w:val="0"/>
          <w:sz w:val="32"/>
          <w:szCs w:val="32"/>
          <w:highlight w:val="none"/>
          <w:lang w:val="en-US" w:eastAsia="zh-CN"/>
        </w:rPr>
        <w:t>套内面积超出应安置套内面积的部分，应加上其对应的公摊面积，按照本条规定办理结算。</w:t>
      </w:r>
    </w:p>
    <w:p>
      <w:pPr>
        <w:pStyle w:val="2"/>
        <w:rPr>
          <w:rFonts w:hint="eastAsia"/>
          <w:highlight w:val="none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 w:bidi="ar"/>
        </w:rPr>
        <w:t>第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 w:bidi="ar"/>
        </w:rPr>
        <w:t xml:space="preserve">章  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Hans" w:bidi="ar"/>
        </w:rPr>
        <w:t>补助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 w:bidi="ar"/>
        </w:rPr>
        <w:t>奖励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4540"/>
        </w:tabs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临时安置补助费：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选择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产权调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Hans"/>
        </w:rPr>
        <w:t>换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回迁商品房，自行安排临时安置的，按照选择的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Hans"/>
        </w:rPr>
        <w:t>回迁商品房</w:t>
      </w:r>
      <w:r>
        <w:rPr>
          <w:rFonts w:hint="eastAsia" w:ascii="仿宋_GB2312" w:eastAsia="仿宋_GB2312" w:cs="Times New Roman"/>
          <w:snapToGrid w:val="0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积（最大不超过应安置面积）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25元/平方米/月，每户不低于1000元/月的临时安置补助。临时安置补助的计发自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签订补偿安置协议、搬迁腾空居住房屋并结清水、电、通讯、燃气等费用之日起计算。</w:t>
      </w:r>
    </w:p>
    <w:p>
      <w:pPr>
        <w:keepNext w:val="0"/>
        <w:keepLines w:val="0"/>
        <w:pageBreakBefore w:val="0"/>
        <w:tabs>
          <w:tab w:val="left" w:pos="4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已签订预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征收补偿安置协议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发布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搬迁通知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》起30日内搬迁腾空房屋的，一次性发放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个月的临时安置补助费。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业主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延后签约的，按月份计依次递减。一次性发放月数期满后，继续发放至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Hans"/>
        </w:rPr>
        <w:t>回迁商品房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建成交付时间止。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eastAsia="仿宋_GB2312"/>
          <w:b/>
          <w:bCs/>
          <w:sz w:val="32"/>
          <w:szCs w:val="32"/>
          <w:highlight w:val="none"/>
        </w:rPr>
        <w:t>第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Hans"/>
        </w:rPr>
        <w:t>十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五</w:t>
      </w:r>
      <w:r>
        <w:rPr>
          <w:rFonts w:eastAsia="仿宋_GB2312"/>
          <w:b/>
          <w:bCs/>
          <w:sz w:val="32"/>
          <w:szCs w:val="32"/>
          <w:highlight w:val="none"/>
        </w:rPr>
        <w:t xml:space="preserve">条 </w:t>
      </w:r>
      <w:r>
        <w:rPr>
          <w:rFonts w:eastAsia="仿宋_GB2312"/>
          <w:sz w:val="32"/>
          <w:szCs w:val="32"/>
          <w:highlight w:val="none"/>
        </w:rPr>
        <w:t>搬迁补助费：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按被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征收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房屋面积22元/平方米（含两次搬迁）一次性计算支付，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每户不足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18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00元的,补足至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18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00元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。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各项设施的迁移补助为电话100元/部，水表500元/户，电表600元/户，有线电视360元/户，管道燃气2000元/户。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十六</w:t>
      </w:r>
      <w:r>
        <w:rPr>
          <w:rFonts w:hint="eastAsia" w:eastAsia="仿宋_GB2312" w:cs="Times New Roman"/>
          <w:b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在下列规定时间内签订补偿安置协议的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并腾空房屋的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，按以下标准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奖励：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自发布签订补偿安置协议的通告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之日起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日内签订补偿安置协议的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并腾空房屋的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一次性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每户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2万元的奖励；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自发布签订补偿安置协议的通告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之日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起第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至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签订补偿安置协议的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并腾空房屋的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一次性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每户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1万元的奖励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自发布签订补偿安置协议的通告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Hans"/>
        </w:rPr>
        <w:t>之日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起</w:t>
      </w:r>
      <w:r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日内未签订补偿安置协议的，不享受奖励。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十七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 xml:space="preserve">条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被征收人享有产权调换资格的，按照选择回迁商品房面积（最大不超过应安置面积）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70元/平方米的回迁商品房产权登记补助。</w:t>
      </w:r>
    </w:p>
    <w:p>
      <w:pPr>
        <w:widowControl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 xml:space="preserve"> </w:t>
      </w:r>
    </w:p>
    <w:p>
      <w:pPr>
        <w:pStyle w:val="11"/>
        <w:ind w:firstLine="0" w:firstLineChars="0"/>
        <w:jc w:val="center"/>
        <w:rPr>
          <w:rFonts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Hans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Hans"/>
        </w:rPr>
        <w:t>章</w:t>
      </w:r>
      <w:r>
        <w:rPr>
          <w:rFonts w:ascii="黑体" w:hAnsi="黑体" w:eastAsia="黑体" w:cs="黑体"/>
          <w:b/>
          <w:bCs/>
          <w:sz w:val="32"/>
          <w:szCs w:val="32"/>
          <w:highlight w:val="none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附则</w:t>
      </w:r>
    </w:p>
    <w:p>
      <w:pPr>
        <w:spacing w:line="560" w:lineRule="exact"/>
        <w:ind w:right="-58" w:firstLine="643" w:firstLineChars="200"/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</w:pPr>
    </w:p>
    <w:p>
      <w:pPr>
        <w:spacing w:line="560" w:lineRule="exact"/>
        <w:ind w:right="-58" w:firstLine="643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第十八条 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本方案所指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的产权人是项目范围内所有土地使用权人和房屋所有权人。</w:t>
      </w:r>
    </w:p>
    <w:p>
      <w:pPr>
        <w:spacing w:line="560" w:lineRule="exact"/>
        <w:ind w:right="-58"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本方案所指的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是项目范围内公有住房的所有者。</w:t>
      </w:r>
    </w:p>
    <w:p>
      <w:pPr>
        <w:spacing w:line="560" w:lineRule="exact"/>
        <w:ind w:right="-58"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 w:bidi="ar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 w:bidi="ar"/>
        </w:rPr>
        <w:t>十九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 w:bidi="ar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 xml:space="preserve"> 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房屋的面积、结构、性质以房屋权属证书记载为准。未经登记的建筑物面积，以依法调查认定并根据《房产测量规范》（国标GB/T17986－2000）测量为准。</w:t>
      </w:r>
    </w:p>
    <w:p>
      <w:pPr>
        <w:spacing w:line="560" w:lineRule="exact"/>
        <w:ind w:right="-58" w:firstLine="640" w:firstLineChars="200"/>
        <w:rPr>
          <w:rFonts w:ascii="仿宋_GB2312" w:hAnsi="仿宋_GB2312" w:eastAsia="仿宋_GB2312" w:cs="仿宋_GB2312"/>
          <w:bCs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本方案所指房屋，均为框架、混合、砖木结构房屋，不含简易结构和附属物。</w:t>
      </w:r>
    </w:p>
    <w:p>
      <w:pPr>
        <w:widowControl/>
        <w:spacing w:line="560" w:lineRule="exact"/>
        <w:ind w:firstLine="643" w:firstLineChars="200"/>
        <w:rPr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二十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条</w:t>
      </w:r>
      <w:r>
        <w:rPr>
          <w:rFonts w:ascii="黑体" w:hAnsi="宋体" w:eastAsia="黑体" w:cs="黑体"/>
          <w:sz w:val="32"/>
          <w:szCs w:val="32"/>
          <w:highlight w:val="none"/>
          <w:lang w:eastAsia="zh-CN" w:bidi="ar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根据《海口市人民政府关于公布执行海口市城镇建设用地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土地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定级及基准地价评估成果的通知》（海府函〔2021〕216号）规定，住宅用地和商服用地评估的平均容积率设定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为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2.5，有特殊规定的从其规定。</w:t>
      </w:r>
    </w:p>
    <w:p>
      <w:pPr>
        <w:spacing w:line="560" w:lineRule="exact"/>
        <w:ind w:right="-58" w:firstLine="643" w:firstLineChars="200"/>
        <w:rPr>
          <w:rFonts w:eastAsia="仿宋_GB2312" w:cs="Times New Roman"/>
          <w:bCs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 xml:space="preserve">条 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>回迁商品房成本价（包含装修标准）以海口</w:t>
      </w:r>
      <w:r>
        <w:rPr>
          <w:rFonts w:eastAsia="仿宋_GB2312" w:cs="Times New Roman"/>
          <w:bCs/>
          <w:sz w:val="32"/>
          <w:szCs w:val="32"/>
          <w:highlight w:val="none"/>
          <w:lang w:eastAsia="zh-CN"/>
        </w:rPr>
        <w:t>市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>人民政府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Hans"/>
        </w:rPr>
        <w:t>发布的指导价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>为准。</w:t>
      </w:r>
    </w:p>
    <w:p>
      <w:pPr>
        <w:widowControl/>
        <w:spacing w:line="560" w:lineRule="exact"/>
        <w:ind w:firstLine="643" w:firstLineChars="200"/>
        <w:jc w:val="both"/>
        <w:rPr>
          <w:rFonts w:ascii="仿宋" w:hAnsi="仿宋" w:eastAsia="仿宋" w:cs="仿宋"/>
          <w:bCs/>
          <w:color w:val="FF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 xml:space="preserve">条 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选择产权调换方式的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被征收人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按照签订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eastAsia="zh-CN"/>
        </w:rPr>
        <w:t>补偿安置协议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的顺序，确定回迁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安置的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 w:bidi="ar"/>
        </w:rPr>
        <w:t>顺序。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房屋存在抵押、出租情形的，由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被征收人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与相关当事人自行协商解决。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征收实施主体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不承担抵押、租赁纠纷的任何责任。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8" w:firstLine="643" w:firstLineChars="200"/>
        <w:textAlignment w:val="auto"/>
        <w:rPr>
          <w:rFonts w:eastAsia="仿宋_GB2312" w:cs="Times New Roman"/>
          <w:bCs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二十四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 w:cs="Times New Roman"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本方案未尽事宜按有关法律、法规、规章和规范性文件的规定执行。</w:t>
      </w:r>
      <w:r>
        <w:rPr>
          <w:rFonts w:hint="eastAsia" w:eastAsia="仿宋_GB2312" w:cs="Times New Roman"/>
          <w:bCs/>
          <w:color w:val="auto"/>
          <w:sz w:val="32"/>
          <w:szCs w:val="32"/>
          <w:highlight w:val="none"/>
          <w:lang w:eastAsia="zh-CN"/>
        </w:rPr>
        <w:t>实施过程中的具体应用问题由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项目指挥部</w:t>
      </w:r>
      <w:r>
        <w:rPr>
          <w:rFonts w:hint="eastAsia" w:eastAsia="仿宋_GB2312" w:cs="Times New Roman"/>
          <w:bCs/>
          <w:color w:val="auto"/>
          <w:sz w:val="32"/>
          <w:szCs w:val="32"/>
          <w:highlight w:val="none"/>
          <w:lang w:eastAsia="zh-CN"/>
        </w:rPr>
        <w:t>负责解释。</w:t>
      </w:r>
    </w:p>
    <w:p>
      <w:pPr>
        <w:widowControl/>
        <w:ind w:firstLine="643" w:firstLineChars="200"/>
        <w:rPr>
          <w:highlight w:val="non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第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Hans"/>
        </w:rPr>
        <w:t>十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条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eastAsia="仿宋_GB2312"/>
          <w:bCs/>
          <w:color w:val="auto"/>
          <w:sz w:val="32"/>
          <w:szCs w:val="32"/>
          <w:highlight w:val="none"/>
          <w:lang w:eastAsia="zh-CN"/>
        </w:rPr>
        <w:t>本方案的实施期限自本方案发布之日至市政府批准建设项目结束止。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0"/>
      </w:pBdr>
      <w:spacing w:line="560" w:lineRule="exact"/>
      <w:ind w:left="0" w:firstLine="0"/>
      <w:jc w:val="right"/>
      <w:outlineLvl w:val="9"/>
      <w:rPr>
        <w:rFonts w:hint="default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MGQxYzc1NGFhNzdkN2RhYzQ1MTJjYWFjMDNiMWEifQ=="/>
  </w:docVars>
  <w:rsids>
    <w:rsidRoot w:val="002C51F6"/>
    <w:rsid w:val="00123E47"/>
    <w:rsid w:val="002C51F6"/>
    <w:rsid w:val="002D269B"/>
    <w:rsid w:val="002F2C0F"/>
    <w:rsid w:val="005C4FBC"/>
    <w:rsid w:val="00681865"/>
    <w:rsid w:val="00696A2E"/>
    <w:rsid w:val="00B70607"/>
    <w:rsid w:val="00BA62A7"/>
    <w:rsid w:val="00CB3C62"/>
    <w:rsid w:val="00CC4678"/>
    <w:rsid w:val="00DF14BB"/>
    <w:rsid w:val="00E21B2B"/>
    <w:rsid w:val="00EA72C7"/>
    <w:rsid w:val="012A0DD6"/>
    <w:rsid w:val="0156352C"/>
    <w:rsid w:val="01831C34"/>
    <w:rsid w:val="01A668EB"/>
    <w:rsid w:val="01E62509"/>
    <w:rsid w:val="01FF5643"/>
    <w:rsid w:val="02005C3A"/>
    <w:rsid w:val="02201993"/>
    <w:rsid w:val="0241685F"/>
    <w:rsid w:val="024261A6"/>
    <w:rsid w:val="024A69D2"/>
    <w:rsid w:val="027108F1"/>
    <w:rsid w:val="02A23BF1"/>
    <w:rsid w:val="02CE2CB2"/>
    <w:rsid w:val="02E2605A"/>
    <w:rsid w:val="032A2EC2"/>
    <w:rsid w:val="0359700B"/>
    <w:rsid w:val="04025133"/>
    <w:rsid w:val="041517C6"/>
    <w:rsid w:val="0441219F"/>
    <w:rsid w:val="047D5273"/>
    <w:rsid w:val="04BC1F82"/>
    <w:rsid w:val="04CB4033"/>
    <w:rsid w:val="04CD5176"/>
    <w:rsid w:val="050361EF"/>
    <w:rsid w:val="05452235"/>
    <w:rsid w:val="05816FE5"/>
    <w:rsid w:val="05B11678"/>
    <w:rsid w:val="05CA0F66"/>
    <w:rsid w:val="05D46061"/>
    <w:rsid w:val="05E3673F"/>
    <w:rsid w:val="06206C00"/>
    <w:rsid w:val="0646548E"/>
    <w:rsid w:val="06C673A5"/>
    <w:rsid w:val="06DD23E1"/>
    <w:rsid w:val="06FD269B"/>
    <w:rsid w:val="07395EC4"/>
    <w:rsid w:val="0768431A"/>
    <w:rsid w:val="076D096A"/>
    <w:rsid w:val="07727CB0"/>
    <w:rsid w:val="07E33A79"/>
    <w:rsid w:val="07F910B5"/>
    <w:rsid w:val="0817778D"/>
    <w:rsid w:val="08D35C26"/>
    <w:rsid w:val="08E85DD9"/>
    <w:rsid w:val="09B869F3"/>
    <w:rsid w:val="09E366C9"/>
    <w:rsid w:val="09F50506"/>
    <w:rsid w:val="0B2D3FD4"/>
    <w:rsid w:val="0B67619D"/>
    <w:rsid w:val="0C006046"/>
    <w:rsid w:val="0C2C5A2F"/>
    <w:rsid w:val="0C4C3AE9"/>
    <w:rsid w:val="0C895E65"/>
    <w:rsid w:val="0CAC309D"/>
    <w:rsid w:val="0D970709"/>
    <w:rsid w:val="0DE404FD"/>
    <w:rsid w:val="0E091A78"/>
    <w:rsid w:val="0E77411E"/>
    <w:rsid w:val="0ED902F5"/>
    <w:rsid w:val="0F081C15"/>
    <w:rsid w:val="0F086659"/>
    <w:rsid w:val="0F4946D0"/>
    <w:rsid w:val="0F735BF1"/>
    <w:rsid w:val="0FB436F8"/>
    <w:rsid w:val="0FCF05A9"/>
    <w:rsid w:val="107D324D"/>
    <w:rsid w:val="10945E1E"/>
    <w:rsid w:val="10B70E37"/>
    <w:rsid w:val="10F74CFB"/>
    <w:rsid w:val="113B6C04"/>
    <w:rsid w:val="115C70B0"/>
    <w:rsid w:val="122B27B2"/>
    <w:rsid w:val="125E1917"/>
    <w:rsid w:val="12C50BDF"/>
    <w:rsid w:val="12FE7EC7"/>
    <w:rsid w:val="13AC582C"/>
    <w:rsid w:val="13D75A7D"/>
    <w:rsid w:val="14322073"/>
    <w:rsid w:val="15126B42"/>
    <w:rsid w:val="16227A29"/>
    <w:rsid w:val="16473412"/>
    <w:rsid w:val="16515A68"/>
    <w:rsid w:val="169C02AA"/>
    <w:rsid w:val="16C507EC"/>
    <w:rsid w:val="16FB5EF4"/>
    <w:rsid w:val="17231CAA"/>
    <w:rsid w:val="17852A72"/>
    <w:rsid w:val="1789581B"/>
    <w:rsid w:val="17AF69F6"/>
    <w:rsid w:val="17D05227"/>
    <w:rsid w:val="18214F9C"/>
    <w:rsid w:val="186A17C1"/>
    <w:rsid w:val="18B7465F"/>
    <w:rsid w:val="190E5E10"/>
    <w:rsid w:val="196825B4"/>
    <w:rsid w:val="19A22210"/>
    <w:rsid w:val="1A2024D1"/>
    <w:rsid w:val="1A265FD0"/>
    <w:rsid w:val="1A4E1EA6"/>
    <w:rsid w:val="1A84452A"/>
    <w:rsid w:val="1B253FC6"/>
    <w:rsid w:val="1B5D1D31"/>
    <w:rsid w:val="1BAA6346"/>
    <w:rsid w:val="1C1857EB"/>
    <w:rsid w:val="1C361ABC"/>
    <w:rsid w:val="1C475483"/>
    <w:rsid w:val="1CE15084"/>
    <w:rsid w:val="1DB96EC4"/>
    <w:rsid w:val="1E4C75DC"/>
    <w:rsid w:val="1E5F5CBE"/>
    <w:rsid w:val="1EAC2A66"/>
    <w:rsid w:val="1ED66A28"/>
    <w:rsid w:val="1F3709E9"/>
    <w:rsid w:val="1FC0007F"/>
    <w:rsid w:val="1FF73CD4"/>
    <w:rsid w:val="20126626"/>
    <w:rsid w:val="2097175C"/>
    <w:rsid w:val="20D73BEF"/>
    <w:rsid w:val="20D94A0B"/>
    <w:rsid w:val="218A0020"/>
    <w:rsid w:val="21C44FBB"/>
    <w:rsid w:val="22124FE4"/>
    <w:rsid w:val="224A5BE0"/>
    <w:rsid w:val="228E499F"/>
    <w:rsid w:val="22E542BF"/>
    <w:rsid w:val="22EC2271"/>
    <w:rsid w:val="22ED7540"/>
    <w:rsid w:val="233C211C"/>
    <w:rsid w:val="23446EF2"/>
    <w:rsid w:val="234B319D"/>
    <w:rsid w:val="2355768F"/>
    <w:rsid w:val="23FE3883"/>
    <w:rsid w:val="24327310"/>
    <w:rsid w:val="24B70C09"/>
    <w:rsid w:val="24B91EA0"/>
    <w:rsid w:val="24C97C82"/>
    <w:rsid w:val="24E52C95"/>
    <w:rsid w:val="24ED119F"/>
    <w:rsid w:val="257222BF"/>
    <w:rsid w:val="2579697C"/>
    <w:rsid w:val="25CB1DA1"/>
    <w:rsid w:val="25E30D7E"/>
    <w:rsid w:val="26017B86"/>
    <w:rsid w:val="262A17EA"/>
    <w:rsid w:val="266C3D2B"/>
    <w:rsid w:val="267B5AC6"/>
    <w:rsid w:val="269C3827"/>
    <w:rsid w:val="26C10195"/>
    <w:rsid w:val="26C62652"/>
    <w:rsid w:val="270F3FF9"/>
    <w:rsid w:val="279055E1"/>
    <w:rsid w:val="27E03DF3"/>
    <w:rsid w:val="282B6CD3"/>
    <w:rsid w:val="283C7F62"/>
    <w:rsid w:val="2843570A"/>
    <w:rsid w:val="2868600E"/>
    <w:rsid w:val="28904E11"/>
    <w:rsid w:val="28BE3C36"/>
    <w:rsid w:val="29257B04"/>
    <w:rsid w:val="292639D6"/>
    <w:rsid w:val="29302EC1"/>
    <w:rsid w:val="2980406B"/>
    <w:rsid w:val="29B048AF"/>
    <w:rsid w:val="2A361B14"/>
    <w:rsid w:val="2A582EA2"/>
    <w:rsid w:val="2A62174B"/>
    <w:rsid w:val="2A8A2271"/>
    <w:rsid w:val="2A955A31"/>
    <w:rsid w:val="2ACD5752"/>
    <w:rsid w:val="2B0D7A59"/>
    <w:rsid w:val="2B146082"/>
    <w:rsid w:val="2B7933F9"/>
    <w:rsid w:val="2C475FE3"/>
    <w:rsid w:val="2C5F6625"/>
    <w:rsid w:val="2C70392E"/>
    <w:rsid w:val="2C7D1A05"/>
    <w:rsid w:val="2C7E5D9F"/>
    <w:rsid w:val="2D012A52"/>
    <w:rsid w:val="2D3349E0"/>
    <w:rsid w:val="2D4B5198"/>
    <w:rsid w:val="2D975FCE"/>
    <w:rsid w:val="2DC7482F"/>
    <w:rsid w:val="2E327009"/>
    <w:rsid w:val="2EF101E2"/>
    <w:rsid w:val="2F12634A"/>
    <w:rsid w:val="2F3A40A7"/>
    <w:rsid w:val="2F572D0F"/>
    <w:rsid w:val="2F6D69AA"/>
    <w:rsid w:val="2FA038EE"/>
    <w:rsid w:val="2FD53BD5"/>
    <w:rsid w:val="3008511A"/>
    <w:rsid w:val="3034687E"/>
    <w:rsid w:val="304427E3"/>
    <w:rsid w:val="305E56A9"/>
    <w:rsid w:val="30A30915"/>
    <w:rsid w:val="30B86B7A"/>
    <w:rsid w:val="30DB345E"/>
    <w:rsid w:val="30EF09B2"/>
    <w:rsid w:val="30F57B47"/>
    <w:rsid w:val="30FD392C"/>
    <w:rsid w:val="31000A61"/>
    <w:rsid w:val="31751578"/>
    <w:rsid w:val="31CD40BC"/>
    <w:rsid w:val="31F86DAA"/>
    <w:rsid w:val="31FF27EC"/>
    <w:rsid w:val="328D33FB"/>
    <w:rsid w:val="32D428B1"/>
    <w:rsid w:val="3315392A"/>
    <w:rsid w:val="335975FF"/>
    <w:rsid w:val="33BC6452"/>
    <w:rsid w:val="33C60A17"/>
    <w:rsid w:val="34353F63"/>
    <w:rsid w:val="343D57A7"/>
    <w:rsid w:val="344E794B"/>
    <w:rsid w:val="3465020F"/>
    <w:rsid w:val="34945B3E"/>
    <w:rsid w:val="34F52F39"/>
    <w:rsid w:val="350A76CF"/>
    <w:rsid w:val="355B4B96"/>
    <w:rsid w:val="357C4134"/>
    <w:rsid w:val="35B01C99"/>
    <w:rsid w:val="36481D4D"/>
    <w:rsid w:val="3662413F"/>
    <w:rsid w:val="366E68DA"/>
    <w:rsid w:val="36A50016"/>
    <w:rsid w:val="36D00062"/>
    <w:rsid w:val="37F9CFDB"/>
    <w:rsid w:val="38284F1B"/>
    <w:rsid w:val="383930F8"/>
    <w:rsid w:val="38CE4AB2"/>
    <w:rsid w:val="38D45B95"/>
    <w:rsid w:val="391F0E90"/>
    <w:rsid w:val="39684021"/>
    <w:rsid w:val="39AE31FE"/>
    <w:rsid w:val="39BF3306"/>
    <w:rsid w:val="39D1162F"/>
    <w:rsid w:val="3A323076"/>
    <w:rsid w:val="3A3D7D18"/>
    <w:rsid w:val="3A7E0E22"/>
    <w:rsid w:val="3A9E66A3"/>
    <w:rsid w:val="3A9E723C"/>
    <w:rsid w:val="3AD24B73"/>
    <w:rsid w:val="3B280A67"/>
    <w:rsid w:val="3B685AE3"/>
    <w:rsid w:val="3B6B5CA0"/>
    <w:rsid w:val="3B8A0143"/>
    <w:rsid w:val="3B954675"/>
    <w:rsid w:val="3B9F12FF"/>
    <w:rsid w:val="3BC32586"/>
    <w:rsid w:val="3BE03C86"/>
    <w:rsid w:val="3C8B04E0"/>
    <w:rsid w:val="3C8F6EBE"/>
    <w:rsid w:val="3CD15B81"/>
    <w:rsid w:val="3CF852C8"/>
    <w:rsid w:val="3D1D0DC6"/>
    <w:rsid w:val="3D4C00E4"/>
    <w:rsid w:val="3E02162D"/>
    <w:rsid w:val="3E111FAD"/>
    <w:rsid w:val="3E6C15BC"/>
    <w:rsid w:val="3EC314F9"/>
    <w:rsid w:val="3EFE4C27"/>
    <w:rsid w:val="3F1048F3"/>
    <w:rsid w:val="3FBA35E8"/>
    <w:rsid w:val="3FDB0AC5"/>
    <w:rsid w:val="408E324B"/>
    <w:rsid w:val="40E85247"/>
    <w:rsid w:val="40EA746A"/>
    <w:rsid w:val="41581B97"/>
    <w:rsid w:val="415B3C6B"/>
    <w:rsid w:val="417E2869"/>
    <w:rsid w:val="418A72CE"/>
    <w:rsid w:val="41D8350E"/>
    <w:rsid w:val="4226539B"/>
    <w:rsid w:val="42E96201"/>
    <w:rsid w:val="43104E4F"/>
    <w:rsid w:val="43357305"/>
    <w:rsid w:val="43D530B1"/>
    <w:rsid w:val="446474FF"/>
    <w:rsid w:val="44AC1712"/>
    <w:rsid w:val="44BC3044"/>
    <w:rsid w:val="4515328A"/>
    <w:rsid w:val="4517434D"/>
    <w:rsid w:val="45AA6E46"/>
    <w:rsid w:val="462555FD"/>
    <w:rsid w:val="46C769A2"/>
    <w:rsid w:val="46D1697A"/>
    <w:rsid w:val="47207E67"/>
    <w:rsid w:val="473A0A0E"/>
    <w:rsid w:val="47E10C42"/>
    <w:rsid w:val="47F90BD9"/>
    <w:rsid w:val="48542D62"/>
    <w:rsid w:val="48763E1C"/>
    <w:rsid w:val="48BA065B"/>
    <w:rsid w:val="48BA5778"/>
    <w:rsid w:val="492F1A7F"/>
    <w:rsid w:val="49514FAC"/>
    <w:rsid w:val="49D123EE"/>
    <w:rsid w:val="49FB10AC"/>
    <w:rsid w:val="4A9C2FC5"/>
    <w:rsid w:val="4ACB7688"/>
    <w:rsid w:val="4AD73230"/>
    <w:rsid w:val="4C465518"/>
    <w:rsid w:val="4C714C8A"/>
    <w:rsid w:val="4CD60513"/>
    <w:rsid w:val="4CD8797A"/>
    <w:rsid w:val="4D61265D"/>
    <w:rsid w:val="4DC2342E"/>
    <w:rsid w:val="4DED5753"/>
    <w:rsid w:val="4F387BC7"/>
    <w:rsid w:val="4F700FBB"/>
    <w:rsid w:val="4F901A5D"/>
    <w:rsid w:val="4FAC11CC"/>
    <w:rsid w:val="50AE11F8"/>
    <w:rsid w:val="50C2318C"/>
    <w:rsid w:val="514B4F78"/>
    <w:rsid w:val="51533906"/>
    <w:rsid w:val="51866E6C"/>
    <w:rsid w:val="51A72EFC"/>
    <w:rsid w:val="52A17805"/>
    <w:rsid w:val="52D933BA"/>
    <w:rsid w:val="52DE10E9"/>
    <w:rsid w:val="52E93588"/>
    <w:rsid w:val="53000DF0"/>
    <w:rsid w:val="53474623"/>
    <w:rsid w:val="536A649F"/>
    <w:rsid w:val="53A5521A"/>
    <w:rsid w:val="53DB6E8D"/>
    <w:rsid w:val="54175503"/>
    <w:rsid w:val="54534007"/>
    <w:rsid w:val="54563E63"/>
    <w:rsid w:val="54632330"/>
    <w:rsid w:val="54705100"/>
    <w:rsid w:val="54A77AAC"/>
    <w:rsid w:val="54B8711B"/>
    <w:rsid w:val="54BF230B"/>
    <w:rsid w:val="54D327C5"/>
    <w:rsid w:val="54E2081E"/>
    <w:rsid w:val="54F31C6C"/>
    <w:rsid w:val="553B7E7D"/>
    <w:rsid w:val="553F38AD"/>
    <w:rsid w:val="556F5ADF"/>
    <w:rsid w:val="5613734A"/>
    <w:rsid w:val="56333137"/>
    <w:rsid w:val="568A2F88"/>
    <w:rsid w:val="569E2C8B"/>
    <w:rsid w:val="56A77B69"/>
    <w:rsid w:val="56ED4ED8"/>
    <w:rsid w:val="57407733"/>
    <w:rsid w:val="575431DF"/>
    <w:rsid w:val="576556E7"/>
    <w:rsid w:val="57A05A0B"/>
    <w:rsid w:val="589703CC"/>
    <w:rsid w:val="58C52E9E"/>
    <w:rsid w:val="593276A6"/>
    <w:rsid w:val="593A3025"/>
    <w:rsid w:val="5947124D"/>
    <w:rsid w:val="594C3A67"/>
    <w:rsid w:val="596752F2"/>
    <w:rsid w:val="59937726"/>
    <w:rsid w:val="59EF5B25"/>
    <w:rsid w:val="59F91A02"/>
    <w:rsid w:val="5A6B1B59"/>
    <w:rsid w:val="5A9706C0"/>
    <w:rsid w:val="5AE07BE9"/>
    <w:rsid w:val="5AF20CDC"/>
    <w:rsid w:val="5B036C23"/>
    <w:rsid w:val="5B3974C5"/>
    <w:rsid w:val="5B3D4155"/>
    <w:rsid w:val="5B726F99"/>
    <w:rsid w:val="5BEAA22D"/>
    <w:rsid w:val="5C5E4052"/>
    <w:rsid w:val="5C702331"/>
    <w:rsid w:val="5C8F70D8"/>
    <w:rsid w:val="5CD5091E"/>
    <w:rsid w:val="5D2418A5"/>
    <w:rsid w:val="5D4E6EAC"/>
    <w:rsid w:val="5DC03709"/>
    <w:rsid w:val="5DDC4741"/>
    <w:rsid w:val="5DE977C8"/>
    <w:rsid w:val="5DFB72C4"/>
    <w:rsid w:val="5E0064CD"/>
    <w:rsid w:val="5E162F9C"/>
    <w:rsid w:val="5E405D5A"/>
    <w:rsid w:val="5EBB452B"/>
    <w:rsid w:val="5EF70C07"/>
    <w:rsid w:val="5F3F0EA4"/>
    <w:rsid w:val="5FE650B0"/>
    <w:rsid w:val="5FFF8365"/>
    <w:rsid w:val="60D311A2"/>
    <w:rsid w:val="61016185"/>
    <w:rsid w:val="6123048F"/>
    <w:rsid w:val="61AC29D7"/>
    <w:rsid w:val="62030FF0"/>
    <w:rsid w:val="62222B0A"/>
    <w:rsid w:val="623F0248"/>
    <w:rsid w:val="6240787E"/>
    <w:rsid w:val="629673B3"/>
    <w:rsid w:val="63526AAF"/>
    <w:rsid w:val="63F77FDF"/>
    <w:rsid w:val="644400F3"/>
    <w:rsid w:val="646F7E75"/>
    <w:rsid w:val="647F0199"/>
    <w:rsid w:val="64961A62"/>
    <w:rsid w:val="64EF37B0"/>
    <w:rsid w:val="65606E9B"/>
    <w:rsid w:val="656C3DE9"/>
    <w:rsid w:val="659D0447"/>
    <w:rsid w:val="65C72A98"/>
    <w:rsid w:val="65D63DD5"/>
    <w:rsid w:val="65E12452"/>
    <w:rsid w:val="65E860BF"/>
    <w:rsid w:val="65F36574"/>
    <w:rsid w:val="66496B50"/>
    <w:rsid w:val="66E06248"/>
    <w:rsid w:val="6713648F"/>
    <w:rsid w:val="67977B5F"/>
    <w:rsid w:val="6809591F"/>
    <w:rsid w:val="68CA13F3"/>
    <w:rsid w:val="68DC3DD5"/>
    <w:rsid w:val="69A412FE"/>
    <w:rsid w:val="69AA600F"/>
    <w:rsid w:val="6A2B4D5A"/>
    <w:rsid w:val="6AE96E6E"/>
    <w:rsid w:val="6AF52F37"/>
    <w:rsid w:val="6BB752E3"/>
    <w:rsid w:val="6CB23E44"/>
    <w:rsid w:val="6D253066"/>
    <w:rsid w:val="6D3B2A1F"/>
    <w:rsid w:val="6D4C36C0"/>
    <w:rsid w:val="6D6B5FE5"/>
    <w:rsid w:val="6D730EC7"/>
    <w:rsid w:val="6DBB7885"/>
    <w:rsid w:val="6E623C04"/>
    <w:rsid w:val="6E781A51"/>
    <w:rsid w:val="6E8A7D6D"/>
    <w:rsid w:val="6E971ED7"/>
    <w:rsid w:val="6EA31572"/>
    <w:rsid w:val="6EEE25C6"/>
    <w:rsid w:val="6EF81BCC"/>
    <w:rsid w:val="6F04549B"/>
    <w:rsid w:val="6F5953DE"/>
    <w:rsid w:val="704E0625"/>
    <w:rsid w:val="70C920F0"/>
    <w:rsid w:val="70DA48D4"/>
    <w:rsid w:val="711B3EE9"/>
    <w:rsid w:val="71710A22"/>
    <w:rsid w:val="7176185D"/>
    <w:rsid w:val="71B06A54"/>
    <w:rsid w:val="71ED0060"/>
    <w:rsid w:val="71F64988"/>
    <w:rsid w:val="723B0DCB"/>
    <w:rsid w:val="72B02CDD"/>
    <w:rsid w:val="72C847CA"/>
    <w:rsid w:val="72CF43CA"/>
    <w:rsid w:val="72F74E03"/>
    <w:rsid w:val="72FE1DE6"/>
    <w:rsid w:val="73092D7A"/>
    <w:rsid w:val="73360EE8"/>
    <w:rsid w:val="736EAAF2"/>
    <w:rsid w:val="73937412"/>
    <w:rsid w:val="73BF262A"/>
    <w:rsid w:val="74157F65"/>
    <w:rsid w:val="74447D88"/>
    <w:rsid w:val="74670917"/>
    <w:rsid w:val="758A081E"/>
    <w:rsid w:val="75BF690D"/>
    <w:rsid w:val="75E769CD"/>
    <w:rsid w:val="75FEE70A"/>
    <w:rsid w:val="761771B6"/>
    <w:rsid w:val="767501D9"/>
    <w:rsid w:val="768216BE"/>
    <w:rsid w:val="76835CCA"/>
    <w:rsid w:val="76941B1A"/>
    <w:rsid w:val="770B772C"/>
    <w:rsid w:val="774442C4"/>
    <w:rsid w:val="776C7EF0"/>
    <w:rsid w:val="77AB38A0"/>
    <w:rsid w:val="77BF4B7E"/>
    <w:rsid w:val="78375EBD"/>
    <w:rsid w:val="78A05E2C"/>
    <w:rsid w:val="78CE5AD8"/>
    <w:rsid w:val="78E430A7"/>
    <w:rsid w:val="78F34ECC"/>
    <w:rsid w:val="792F200C"/>
    <w:rsid w:val="793C2330"/>
    <w:rsid w:val="794164AB"/>
    <w:rsid w:val="79472E65"/>
    <w:rsid w:val="79B0209F"/>
    <w:rsid w:val="79DD40A7"/>
    <w:rsid w:val="79F65EAE"/>
    <w:rsid w:val="7A1A196B"/>
    <w:rsid w:val="7A2B3495"/>
    <w:rsid w:val="7A3730B0"/>
    <w:rsid w:val="7ABC0981"/>
    <w:rsid w:val="7B2B68BA"/>
    <w:rsid w:val="7B5B7588"/>
    <w:rsid w:val="7B792414"/>
    <w:rsid w:val="7BCC0CE6"/>
    <w:rsid w:val="7C391148"/>
    <w:rsid w:val="7C5D37F3"/>
    <w:rsid w:val="7C772F8A"/>
    <w:rsid w:val="7CAC27A3"/>
    <w:rsid w:val="7CF706D0"/>
    <w:rsid w:val="7D8C05B9"/>
    <w:rsid w:val="7D9A67A4"/>
    <w:rsid w:val="7DDB1DDB"/>
    <w:rsid w:val="7E152F02"/>
    <w:rsid w:val="7E7538B7"/>
    <w:rsid w:val="7E837D82"/>
    <w:rsid w:val="7EC319FB"/>
    <w:rsid w:val="7EFD00CB"/>
    <w:rsid w:val="7F4565FF"/>
    <w:rsid w:val="7F7B51B4"/>
    <w:rsid w:val="7FE11934"/>
    <w:rsid w:val="7FE31EEC"/>
    <w:rsid w:val="99C56BD9"/>
    <w:rsid w:val="AFE7D711"/>
    <w:rsid w:val="B45F2CD6"/>
    <w:rsid w:val="CFEF730D"/>
    <w:rsid w:val="E7FDEEEB"/>
    <w:rsid w:val="E9EFD7C8"/>
    <w:rsid w:val="EBFE0DC0"/>
    <w:rsid w:val="F35F786B"/>
    <w:rsid w:val="F3F970C6"/>
    <w:rsid w:val="F50FA8A1"/>
    <w:rsid w:val="FA5E0C6D"/>
    <w:rsid w:val="FCF9A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="Calibri" w:hAnsi="Calibri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cs="Times New Roman"/>
      <w:b/>
      <w:bCs/>
      <w:kern w:val="44"/>
      <w:sz w:val="48"/>
      <w:szCs w:val="48"/>
      <w:lang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annotation text"/>
    <w:basedOn w:val="1"/>
    <w:semiHidden/>
    <w:unhideWhenUsed/>
    <w:qFormat/>
    <w:uiPriority w:val="99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标题 11"/>
    <w:basedOn w:val="1"/>
    <w:qFormat/>
    <w:uiPriority w:val="1"/>
    <w:pPr>
      <w:ind w:left="286" w:hanging="20"/>
      <w:outlineLvl w:val="1"/>
    </w:pPr>
    <w:rPr>
      <w:rFonts w:ascii="宋体" w:hAnsi="宋体"/>
      <w:sz w:val="24"/>
      <w:szCs w:val="24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2875</Words>
  <Characters>2948</Characters>
  <Lines>41</Lines>
  <Paragraphs>11</Paragraphs>
  <TotalTime>20</TotalTime>
  <ScaleCrop>false</ScaleCrop>
  <LinksUpToDate>false</LinksUpToDate>
  <CharactersWithSpaces>2989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2023-02-15T09:24:00Z</dcterms:created>
  <dc:creator>PC</dc:creator>
  <cp:lastModifiedBy>Administrator</cp:lastModifiedBy>
  <cp:lastPrinted>2023-08-03T01:39:00Z</cp:lastPrinted>
  <dcterms:modified xsi:type="dcterms:W3CDTF">2023-09-04T02:35:51Z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CAC4D607073644E8925CBB5D1DF2BBBD_13</vt:lpwstr>
  </property>
</Properties>
</file>