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sz w:val="44"/>
          <w:szCs w:val="44"/>
        </w:rPr>
      </w:pPr>
      <w:r>
        <w:rPr>
          <w:rFonts w:hint="eastAsia" w:ascii="宋体" w:hAnsi="宋体" w:eastAsia="宋体" w:cs="宋体"/>
          <w:sz w:val="44"/>
          <w:szCs w:val="44"/>
        </w:rPr>
        <w:t>海口市人民政府</w:t>
      </w:r>
    </w:p>
    <w:p>
      <w:pPr>
        <w:keepNext w:val="0"/>
        <w:keepLines w:val="0"/>
        <w:pageBreakBefore w:val="0"/>
        <w:widowControl/>
        <w:kinsoku/>
        <w:wordWrap/>
        <w:overflowPunct/>
        <w:topLinePunct w:val="0"/>
        <w:autoSpaceDE/>
        <w:autoSpaceDN/>
        <w:bidi w:val="0"/>
        <w:adjustRightInd/>
        <w:snapToGrid/>
        <w:spacing w:after="210" w:line="450" w:lineRule="atLeast"/>
        <w:jc w:val="center"/>
        <w:textAlignment w:val="auto"/>
        <w:rPr>
          <w:rFonts w:hint="eastAsia" w:ascii="宋体" w:hAnsi="宋体" w:eastAsia="宋体" w:cs="宋体"/>
          <w:sz w:val="44"/>
          <w:szCs w:val="44"/>
        </w:rPr>
      </w:pPr>
      <w:r>
        <w:rPr>
          <w:rFonts w:hint="eastAsia" w:ascii="宋体" w:hAnsi="宋体" w:eastAsia="宋体" w:cs="宋体"/>
          <w:sz w:val="44"/>
          <w:szCs w:val="44"/>
        </w:rPr>
        <w:t>关于全面治理拖欠农民工工资问题的实施意见</w:t>
      </w:r>
    </w:p>
    <w:p>
      <w:pPr>
        <w:bidi w:val="0"/>
        <w:ind w:firstLine="396" w:firstLineChars="0"/>
        <w:jc w:val="left"/>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各区人民政府，市政府直属各单位：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为全面治理拖欠农民工工资问题，根据《国务院办公厅关于全面治理拖欠农民工工资问题的意见》（国办发〔2016〕1 号）和《海南省人民政府办公厅关于全面治理拖欠农民工工资问题的实施意见》（琼府办〔2016〕238 号）等文件精神，结合我市实际，作出以下实施意见。</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一、依法规范企业劳动用工行为</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依法签订劳动合同。在工程建设领域，各类企业须依法与招用的农民工订立劳动合同并办理劳动用工备案。实行先签订劳动合同后进场施工制度，推行简易劳动合同，明确约定工作内容、缴纳社会保险、劳动报酬数额和标准、支付时间和方式等内容，并严格履行。行业主管部门指导和监督本行业落实劳动用工备案制度。</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sectPr>
          <w:footerReference r:id="rId3" w:type="default"/>
          <w:pgSz w:w="11906" w:h="16838"/>
          <w:pgMar w:top="1962" w:right="1474" w:bottom="1848" w:left="1587" w:header="851" w:footer="992" w:gutter="0"/>
          <w:pgNumType w:fmt="numberInDash" w:start="1"/>
          <w:cols w:space="0" w:num="1"/>
          <w:rtlGutter w:val="0"/>
          <w:docGrid w:type="lines" w:linePitch="317" w:charSpace="0"/>
        </w:sectPr>
      </w:pPr>
      <w:r>
        <w:rPr>
          <w:rFonts w:hint="eastAsia" w:ascii="仿宋_GB2312" w:hAnsi="仿宋_GB2312" w:eastAsia="仿宋_GB2312" w:cs="仿宋_GB2312"/>
          <w:kern w:val="2"/>
          <w:sz w:val="32"/>
          <w:szCs w:val="32"/>
          <w:lang w:val="en-US" w:eastAsia="zh-CN" w:bidi="ar-SA"/>
        </w:rPr>
        <w:t>（二）建设领域实行实名制用工管理。在工程建设领域，施工总承包企业须全面落实实名制用工管理制度，依法建立健全农</w:t>
      </w:r>
    </w:p>
    <w:p>
      <w:pPr>
        <w:keepNext w:val="0"/>
        <w:keepLines w:val="0"/>
        <w:pageBreakBefore w:val="0"/>
        <w:widowControl/>
        <w:kinsoku/>
        <w:wordWrap/>
        <w:overflowPunct/>
        <w:topLinePunct w:val="0"/>
        <w:autoSpaceDE/>
        <w:autoSpaceDN/>
        <w:bidi w:val="0"/>
        <w:adjustRightInd/>
        <w:snapToGrid/>
        <w:spacing w:line="450" w:lineRule="atLeas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民工名册。在建设工程项目部配备劳资专管员，专门负责用工登记、建立名册和实名制动态管理、农民工出工考勤和工作量记录、编制工资支付表、工资卡发放管理、工资支付记录等工作。其中考勤、工作量和工资支付记录应由农民工本人签字，并保存两年以上备查。施工总承包企业必须在工程项目开工前到住房城乡建设、交通运输、水利等主管部门办理实名制用工管理登记手续。人力资源社会保障行政部门应协助住房城乡建设、交通运输、水利等主管部门逐步建立劳动实名制监管信息系统，实现与有关信息系统的数据共享互认，规范行业管理，督促工程建设项目实行实名制用工管理。</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加强企业用工监管。市、区两级劳动保障监察机构要落实日常巡视检查制度，依托镇（街）、劳动保障监察“两网化”管理和建设领域行业管理平台以及基层工会组织，加强对各类企业使用农民工情况、农民工工资月发放制度、落实建设领域在建筑施工现场设立农民工维权告示牌等进行日常监督检查，加强用工各环节的管理，依法查处违法违规行为。</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二、全面规范建设项目管理</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规范工程项目管理。严格执行投资项目行政审批制度，加强对政府投资工程项目的管理，对建设资金来源不落实的政府投资项目不予批准。政府投资项目一律不得以施工总承包企业带资承包的方式进行建设，并严禁将带资承包有关内容写入工程承包合同及补充条款。市、区两级住建部门对建设资金没有落实到位的政府投资项目不予颁发施工许可证。施工总承包企业或专业承包企业劳务分包，应当签订包括工资支付数额和方式的劳务分包合同，不得分包给个人及无资质的企业。禁止劳务分包企业将劳务作业再分包。</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（五）加强项目资金管理。严格防范工程项目有关单位提供虚假证明文件和项目批准后抽逃、挪用资金以及拖欠工程款问题。</w:t>
      </w:r>
    </w:p>
    <w:p>
      <w:pPr>
        <w:keepNext w:val="0"/>
        <w:keepLines w:val="0"/>
        <w:pageBreakBefore w:val="0"/>
        <w:widowControl/>
        <w:kinsoku/>
        <w:wordWrap/>
        <w:overflowPunct/>
        <w:topLinePunct w:val="0"/>
        <w:autoSpaceDE/>
        <w:autoSpaceDN/>
        <w:bidi w:val="0"/>
        <w:adjustRightInd/>
        <w:snapToGrid/>
        <w:spacing w:line="450" w:lineRule="atLeas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推行施工过程结算制度，按合同约定或工程进度结算并支付工程款，工程款优先支付农民工工资。</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加强工程执法监督。市、区两级住建部门切实加大对建筑市场的监督检查力度，监督建设单位和施工单位严格按照批准的项目建设规模、内容、标准进行建设。加强对工程合同签订、履行以及工程款支付情况的监督检查，对发现的违规开工、违规分包、层层转包等违法行为，及时移送城管执法部门依法查处，从源头上消除拖欠隐患。</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三、全面规范企业工资支付行为</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落实农民工工资支付主体责任。各类企业须依法向农民工本人按月足额支付工资，严格执行最低工资制度，依法支付加班工资，招用农民工的企业承担直接清偿拖欠农民工工资的主体责任。在工程建设领域，建设单位或施工总承包企业对所承包工程项目的农民工工资支付负总责，直接与农民工建立劳动关系的劳务和分包企业对农民工工资支付负直接责任，不得以工程款未到位或工程款未结清等理由克扣或拖欠农民工工资，不得将合同应收工程款等经营风险转嫁给农民工。因建设单位或者施工总承包企业将工程违法发包、转包挂靠、违法分包导致发生拖欠农民工工资问题的，由建设单位或施工总承包企业依法承担清偿责任。因建设单位或施工总承包企业未按施工进度和合同约定支付工程款，致使分包企业拖欠农民工工资的，由建设单位或施工总承包企业以应支付而未支付的工程款为限先行垫付农民工工资。严禁将工资发放给不具备用工主体资格的组织和个人。发包给不具备用工主体资格的组织或者个人的，由建设单位或施工总承包企业承担用工主体责任。</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继续完善农民工工资保证金制度。在建筑、市政、交通、水利、铁路、电力及通信基础设施建设等工程建设领域全面严格实行农民工工资保证金制度，逐步将实施范围扩大到其他易发生拖欠工资的行业。住建、水利、交通等职能部门按照各自职责做好相关工作。新开工的建设单位和施工总承包企业必须在工程开工前分别按工程中标价 2.5%将农民工工资保证金存入属地劳动保障监察机构指定的银行账户。严格执行工资保证金差异化缴存制度，对一定时期内未发生工资拖欠的企业实行减免措施。建设单位和施工总承包企业在工程项目实施过程中，1 年内未发生拖欠农民工工资的，其新报建工程项目的农民工工资保证金减免应缴金额 30%;2 年内未发生拖欠农民工工资的，其新报建工程项目的农民工工资保证金减免应缴金额 50%;3 年内未发生拖欠农民工工资的，其新报建工程项目的农民工工资保证金减免应缴金额 70%;4 年内未发生拖欠农民工工资的，其新报建工程项目的农民工工资保证金减免应缴金额90%;5 年内未发生拖欠农民工工资的，其新报建工程项目的农民工工资保证金免缴。支持建设单位和施工总承包企业通过现金或提供银行保函等第三担保方式履行农民工工资保证金缴存。劳动保障监察机构经调查认定施工总承包企业拖欠、克扣农民工工资的，或者认定施工总承包企业确因建设单位拖欠工程款而无法支付农民工工资的，责令施工总承包企业或建设单位限期改正，逾期不改正的，按照《海南省农民工工资保证金制度实施办法》规定，从农民工工资保证金中先予划支。出现拖欠农民工工资被先予划支农民工工资保证金情况，由劳动保障监察机构责令工程项目的建设单位和施工总承包企业分别按工程中标价 2.5%补足农民工工资保证金或补齐银行保函额度。已享受减免政策的在建项目，如出现拖欠农民工工资情况，其工程项目按工程中标价的 5%缴纳农民工工资保证金。</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全面推行农民工工资专用账户制度。在我市辖区范围内的房屋建筑和市政基础设施工程领域，水利、交通等建设工程项目，实行农民工工资专用账户制度，在工程项目所在地银行开设农民工工资专用账户，专门用于支付农民工工资。建设单位应按照工程承包合同的约定拨付工程款，并将工程款中的人工费用单独拨付到施工总承包企业开设的农民工工资专用账户。施工总承包企业应向人力资源社会保障行政部门及各行业主管部门备案，并委托开户银行负责日常监管，确保专款专用。实行银行代发工资制度，由分包企业负责为招用的农民工申办银行个人工资账户并办理实名制工资支付银行卡，按月考核农民工工作量，编制工资支付表，交施工总承包企业委托银行通过其设立的农民工资专用账户直接将工资划入农民工个人工资账户。开户银行发现账户资金不足、被挪用等情况，应及时向人力资源社会保障行政部门和各行业主管部门报告。</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（十）落实政府应急周转金制度。建立应急周转金制度，市、区政府分别按照市不少于 500 万元、区级不少于 200 万元的标准储备。应急周转金由市、区两级人力资源社会保障行政部门设立资金专户，统一管理，专账核算，具体支付办法按照《海南省农民工工资应急周转金管理办法》执行。</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落实劳动保障监察网格化管理制度。完善劳动保障监察专职协管员网格化管理制度，加强对企业工资支付的实时监控，及时采集、录入和审核劳动就业用工信息等数据。劳动保障监察机构每季度对用工单位保障农民工工资支付各项制度落实情况进行通报，对制度落实不到位的存在欠薪隐患的用工单位发出风险提示，由行业主管部门督促整改。</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落实行政执法与刑事司法衔接机制。进一步加强行政执法与刑事司法衔接工作，各级公安机关明确或成立专门机构处理劳动保障案件，畅通信息交流、情况通报渠道，完善劳动保障监察机构与公安机关等有关部门的衔接工作，加强涉嫌犯罪案件的联合调查、案件会商和案件移送工作，对不配合执法、人数较多、数额较大、涉嫌跨区域犯罪、影响较坏的，销毁会议账簿、转移财产、暴力抗法的，采取非法手段讨薪或以拖欠工资为名讨要工程款的，个人携款潜逃的案件和群体性事件，公安机关应提前介入，联合查处，涉嫌欠薪犯罪的依法追究刑事责任，严厉打击欠薪犯罪行为。</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四、全力处置拖欠农民工工资问题</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（十三）定期开展专项检查活动。发挥专项治理作用，市、区两级保障农民工工资支付工作领导小组每年组织有关部门联合开展不少于 2 次农民工工资支付情况专项检查活动，对全市各类招用农民工较多的用人单位、建设工程项目进行拉网式检查，排查隐患，及时处置拖欠农民工工资问题。</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依法处置拖欠农民工工资行为。市、区两级劳动保障监察机构要快速查处农民工投诉的拖欠工资违法行为。对存在劳动关系和劳动报酬争议的，市、区两级人事劳动争议仲裁机构要依照有关规定，对拖欠农民工工资争议案件优先受理、优先调解、优先开庭、及时裁决、快速结案。行业主管部门对涉及本行业的拖欠工资案件，要高效处置。公安部门应提前介入的案件要及时提前介入，确保案件快侦快办；对工程项目中因工程质量和工程量等事项引发的劳动报酬争议的，应当引导通过仲裁或司法途径解决。</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五）妥善处置群体性突发事件。完善市、区两级应急预案，明确目标任务和处置措施，建立市、区、镇（街）三级防范体系。加大对群体性突发事件监控处置力度，发生群体性突发事件的，当地政府及其公安部门要先行介入稳控，相关责任部门在规定时间内到场处置并及时报告。对采取非法手段恶意讨薪或以讨薪之名讨要工程款，构成违反治安管理行为的，公安部门要依法予以治安处罚，涉嫌犯罪的要及时立案查处。</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六）严厉惩戒欠薪失信行为。建立工程备案（审批）与施工许可、劳动合同签订、用工备案、社会保险登记和工资支付等信息互通制度；纳入政府公共信用信息服务及人民银行、工商、住建、工会等行业的征信、信用信息公示、诚信信息系统和平台；推进互联互通，实现信息互认和共享。</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区两级人力资源社会保障行政部门要完善企业劳动保障诚信评价和劳动保障“黑名单”制度，将企业劳动用工和工资支付情况作为企业劳动保障守法诚信等级评定依据，实行分类分级动态监管。要依据《海南省企业劳动保障守法诚信等级评定办法》，对行政区域内的各类企业进行劳动保障守法诚信等级进行评定，建立企业劳动保障守法诚信档案。同时，根据《重大劳动保障违法行为社会公布办法》规定，每季度向社会公布用人单位重大劳动保障违法行为。公布的主要内容要包括用人单位全称、统一信用代码、地址、登记注册类型、法定代表人或负责人姓名、违法事实和查处情况等。市、区住建部门要落实建筑业企业信用综合评价制度，评价结果应用到企业资质评定和建设项目招投标等环节，对存在严重拖欠农民工工资问题的记入“黑名单”，在政府资金支持、政府采购、招投标、生产许可、履约担保、资质审核、融资贷款、市场准入、评优评先等方面依法依规予以限制，提高企业失信违法成本。</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五、提高执法维权服务能力</w:t>
      </w:r>
      <w:bookmarkStart w:id="0" w:name="_GoBack"/>
      <w:bookmarkEnd w:id="0"/>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（十七）加强劳动保障监察服务窗口建设。完善市、区两级劳动保障监察举报投诉受理系统平台建设，积极与 12345 政府服务热线平台对接，畅通投诉举报渠道，形成信息资源共享、处置联动机制。完善劳动保障监察信息系统管理功能，推进劳动保障监察网格化、网络化管理工作向镇（街）延伸。运用管理信息系统进行信息研判和形势分析，提升预防预警功能。按照劳动保障监察服务窗口的标准和要求，加强服务窗口建设，争创优质服务窗口。</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（十八）加强执法效能建设。增加区级劳动保障监察机构人员编制，增强劳动保障监察执法力量。通过政府购买服务等方式，区两级（含管委会）劳动保障监察机构按照人员编制 1：2 的比例配备劳动保障监察专职协管员，劳动保障监察协管员待遇参照公安交警协管员待遇执行，由区级财政予以保障。完善劳动保障监察案件接待室、调查室、调解室、档案室、会议室等办案场所建设，严格按照琼府办〔2016〕238 号文件的规定和标准配备劳动保障监察执法记录仪等装备，统一执法标识和工作服。加强执法和管理工作人员培训，制定培训计划，开展业务练兵，全面提升执法人员政治思想素质和执法业务能力，提高执法工作效率。</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六、严格落实责任</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九）实行属地管理责任制。各区、各部门按照“属地管理、分级负责、谁主管谁负责、谁许可谁负责”的原则，积极解决拖欠农民工工资问题。落实问责制度，对监管责任不落实、组织工作不到位的，要严格责任追究。对政府投资工程项目拖欠工程款并引发拖欠农民工工资问题的，要追究项目责任人责任。对不缴存农民工工资保证金或不提供农民工工资保证金银行保函、擅自发放施工许可证、引起造成拖欠农民工工资，并造成不良影响的，追究相关职能部门责任。</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十）完善部门协调机制。成立市、区两级保障农民工工资支付工作领导小组，负责定期研判形势，制定解决突出问题的具体措施，部署并指导开展农民工工资支付情况专项检查，协调解决重大疑难问题，督办拖欠工资案件。保障农民工工资支付工作领导小组联席会议由市政府分管领导任总召集人，人社局主要负责人任召集人，政法委、法院、检察院、人社局、信访局、发改委、财政局、公安局、司法局、监察局、住建局、交通港航局、水务局、国资委、人行海口中心支行、工商局、工会等单位为联席会议成员单位；联席会议办公室设在人社局，负责日常工作。</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十一）落实部门责任。各部门要按照职责，各司其职，充分发挥各相关部门和单位的职能优势，协调解决本行业、本部门及所属单位工程项目拖欠农民工工资问题，及时处置保障农民工工资支付工作领导小组交办的案件。</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（二十二）本实施意见自印发之日起实施，有效期五年。2017年印发的《海口市全面治理拖欠农民工工资问题实施意见》（海府〔2017〕108 号）同时废止。</w:t>
      </w:r>
    </w:p>
    <w:p>
      <w:pPr>
        <w:keepNext w:val="0"/>
        <w:keepLines w:val="0"/>
        <w:pageBreakBefore w:val="0"/>
        <w:widowControl/>
        <w:kinsoku/>
        <w:wordWrap/>
        <w:overflowPunct/>
        <w:topLinePunct w:val="0"/>
        <w:autoSpaceDE/>
        <w:autoSpaceDN/>
        <w:bidi w:val="0"/>
        <w:adjustRightInd/>
        <w:snapToGrid/>
        <w:spacing w:line="450" w:lineRule="atLeast"/>
        <w:ind w:left="1918" w:leftChars="304" w:hanging="1280" w:hangingChars="4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附件：1.海口市保障农民工工资支付工作领导小组成员名单及成员单位职责分工</w:t>
      </w:r>
    </w:p>
    <w:p>
      <w:pPr>
        <w:keepNext w:val="0"/>
        <w:keepLines w:val="0"/>
        <w:pageBreakBefore w:val="0"/>
        <w:widowControl/>
        <w:kinsoku/>
        <w:wordWrap/>
        <w:overflowPunct/>
        <w:topLinePunct w:val="0"/>
        <w:autoSpaceDE/>
        <w:autoSpaceDN/>
        <w:bidi w:val="0"/>
        <w:adjustRightInd/>
        <w:snapToGrid/>
        <w:spacing w:line="450" w:lineRule="atLeast"/>
        <w:ind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2.建筑业简易劳动合同（范本）</w:t>
      </w:r>
    </w:p>
    <w:p>
      <w:pPr>
        <w:keepNext w:val="0"/>
        <w:keepLines w:val="0"/>
        <w:pageBreakBefore w:val="0"/>
        <w:widowControl/>
        <w:kinsoku/>
        <w:wordWrap/>
        <w:overflowPunct/>
        <w:topLinePunct w:val="0"/>
        <w:autoSpaceDE/>
        <w:autoSpaceDN/>
        <w:bidi w:val="0"/>
        <w:adjustRightInd/>
        <w:snapToGrid/>
        <w:spacing w:line="450" w:lineRule="atLeast"/>
        <w:ind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3.农民工工资发放花名册</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bidi w:val="0"/>
        <w:ind w:firstLine="640" w:firstLineChars="200"/>
        <w:jc w:val="both"/>
        <w:rPr>
          <w:rFonts w:hint="eastAsia" w:ascii="仿宋_GB2312" w:hAnsi="仿宋_GB2312" w:eastAsia="仿宋_GB2312" w:cs="仿宋_GB2312"/>
          <w:kern w:val="2"/>
          <w:sz w:val="32"/>
          <w:szCs w:val="32"/>
          <w:lang w:val="en-US" w:eastAsia="zh-CN" w:bidi="ar-SA"/>
        </w:rPr>
      </w:pP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（此件主动公开）</w:t>
      </w:r>
    </w:p>
    <w:p>
      <w:pPr>
        <w:bidi w:val="0"/>
        <w:ind w:firstLine="640" w:firstLineChars="200"/>
        <w:jc w:val="both"/>
        <w:rPr>
          <w:rFonts w:hint="eastAsia" w:ascii="仿宋_GB2312" w:hAnsi="仿宋_GB2312" w:eastAsia="仿宋_GB2312" w:cs="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ind w:firstLine="5760" w:firstLineChars="180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海口市人民政府</w:t>
      </w:r>
    </w:p>
    <w:p>
      <w:pPr>
        <w:keepNext w:val="0"/>
        <w:keepLines w:val="0"/>
        <w:pageBreakBefore w:val="0"/>
        <w:widowControl/>
        <w:kinsoku/>
        <w:wordWrap/>
        <w:overflowPunct/>
        <w:topLinePunct w:val="0"/>
        <w:autoSpaceDE/>
        <w:autoSpaceDN/>
        <w:bidi w:val="0"/>
        <w:adjustRightInd/>
        <w:snapToGrid/>
        <w:ind w:firstLine="5760" w:firstLineChars="1800"/>
        <w:jc w:val="righ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2018年12月12日</w:t>
      </w:r>
    </w:p>
    <w:sectPr>
      <w:headerReference r:id="rId4" w:type="default"/>
      <w:footerReference r:id="rId5"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94F81"/>
    <w:rsid w:val="12FE0356"/>
    <w:rsid w:val="13916D9A"/>
    <w:rsid w:val="142016CF"/>
    <w:rsid w:val="1E56710F"/>
    <w:rsid w:val="21D84ED6"/>
    <w:rsid w:val="23112DFC"/>
    <w:rsid w:val="2D274F39"/>
    <w:rsid w:val="2D27766B"/>
    <w:rsid w:val="34B469CB"/>
    <w:rsid w:val="4AE41175"/>
    <w:rsid w:val="54287134"/>
    <w:rsid w:val="601D24C0"/>
    <w:rsid w:val="6CB7492C"/>
    <w:rsid w:val="6D4E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2022-08-30T01:12:00Z</dcterms:created>
  <dc:creator>Administrator</dc:creator>
  <cp:lastModifiedBy>Eromediter</cp:lastModifiedBy>
  <dcterms:modified xsi:type="dcterms:W3CDTF">2022-09-06T06:53:00Z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C5B056B949B648DEBC544E3098ADC3D7</vt:lpwstr>
  </property>
</Properties>
</file>