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海口市</w:t>
      </w:r>
      <w:r>
        <w:rPr>
          <w:rFonts w:hint="eastAsia" w:ascii="宋体" w:hAnsi="宋体"/>
          <w:b/>
          <w:bCs/>
          <w:color w:val="000000"/>
          <w:sz w:val="32"/>
          <w:szCs w:val="32"/>
          <w:lang w:eastAsia="zh-CN"/>
        </w:rPr>
        <w:t>石油焦碳</w:t>
      </w:r>
      <w:r>
        <w:rPr>
          <w:rFonts w:hint="eastAsia" w:ascii="宋体" w:hAnsi="宋体"/>
          <w:b/>
          <w:bCs/>
          <w:color w:val="000000"/>
          <w:sz w:val="32"/>
          <w:szCs w:val="32"/>
        </w:rPr>
        <w:t>产品质量监督抽查实施细则</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海口市市场监督管理局</w:t>
      </w:r>
    </w:p>
    <w:p>
      <w:pPr>
        <w:snapToGrid w:val="0"/>
        <w:spacing w:line="440" w:lineRule="exact"/>
        <w:ind w:firstLine="643" w:firstLineChars="200"/>
        <w:jc w:val="center"/>
        <w:rPr>
          <w:rFonts w:eastAsia="方正小标宋简体" w:cs="方正仿宋简体"/>
          <w:color w:val="000000"/>
          <w:sz w:val="32"/>
          <w:szCs w:val="32"/>
        </w:rPr>
      </w:pPr>
      <w:r>
        <w:rPr>
          <w:rFonts w:hint="eastAsia" w:ascii="宋体" w:hAnsi="宋体"/>
          <w:b/>
          <w:bCs/>
          <w:color w:val="000000"/>
          <w:sz w:val="32"/>
          <w:szCs w:val="32"/>
        </w:rPr>
        <w:t>202</w:t>
      </w:r>
      <w:r>
        <w:rPr>
          <w:rFonts w:hint="eastAsia" w:ascii="宋体" w:hAnsi="宋体"/>
          <w:b/>
          <w:bCs/>
          <w:color w:val="000000"/>
          <w:sz w:val="32"/>
          <w:szCs w:val="32"/>
          <w:lang w:val="en-US" w:eastAsia="zh-CN"/>
        </w:rPr>
        <w:t>1</w:t>
      </w:r>
      <w:r>
        <w:rPr>
          <w:rFonts w:hint="eastAsia" w:ascii="宋体" w:hAnsi="宋体"/>
          <w:b/>
          <w:bCs/>
          <w:color w:val="000000"/>
          <w:sz w:val="32"/>
          <w:szCs w:val="32"/>
        </w:rPr>
        <w:t>年</w:t>
      </w:r>
      <w:r>
        <w:rPr>
          <w:rFonts w:hint="eastAsia" w:ascii="宋体" w:hAnsi="宋体"/>
          <w:b/>
          <w:bCs/>
          <w:color w:val="000000"/>
          <w:sz w:val="32"/>
          <w:szCs w:val="32"/>
          <w:lang w:val="en-US" w:eastAsia="zh-CN"/>
        </w:rPr>
        <w:t>9</w:t>
      </w:r>
      <w:r>
        <w:rPr>
          <w:rFonts w:hint="eastAsia" w:ascii="宋体" w:hAnsi="宋体"/>
          <w:b/>
          <w:bCs/>
          <w:color w:val="000000"/>
          <w:sz w:val="32"/>
          <w:szCs w:val="32"/>
        </w:rPr>
        <w:t>月</w:t>
      </w:r>
      <w:r>
        <w:rPr>
          <w:rFonts w:ascii="宋体" w:hAnsi="宋体"/>
          <w:b/>
          <w:bCs/>
          <w:color w:val="000000"/>
          <w:sz w:val="32"/>
          <w:szCs w:val="32"/>
        </w:rPr>
        <w:br w:type="page"/>
      </w:r>
      <w:r>
        <w:rPr>
          <w:rFonts w:hint="eastAsia" w:ascii="宋体" w:hAnsi="宋体"/>
          <w:b/>
          <w:bCs/>
          <w:color w:val="000000"/>
          <w:sz w:val="32"/>
          <w:szCs w:val="32"/>
        </w:rPr>
        <w:t>海口市</w:t>
      </w:r>
      <w:r>
        <w:rPr>
          <w:rFonts w:hint="eastAsia" w:ascii="宋体" w:hAnsi="宋体"/>
          <w:b/>
          <w:bCs/>
          <w:color w:val="000000"/>
          <w:sz w:val="32"/>
          <w:szCs w:val="32"/>
          <w:lang w:eastAsia="zh-CN"/>
        </w:rPr>
        <w:t>石油焦碳</w:t>
      </w:r>
      <w:r>
        <w:rPr>
          <w:rFonts w:hint="eastAsia" w:ascii="宋体" w:hAnsi="宋体"/>
          <w:b/>
          <w:bCs/>
          <w:color w:val="000000"/>
          <w:sz w:val="32"/>
          <w:szCs w:val="32"/>
        </w:rPr>
        <w:t>产品质量监督抽查实施细则</w:t>
      </w:r>
    </w:p>
    <w:p>
      <w:pPr>
        <w:snapToGrid w:val="0"/>
        <w:spacing w:line="440" w:lineRule="exact"/>
        <w:rPr>
          <w:rFonts w:eastAsia="黑体"/>
          <w:b/>
          <w:bCs/>
          <w:color w:val="000000"/>
          <w:szCs w:val="21"/>
        </w:rPr>
      </w:pPr>
      <w:r>
        <w:rPr>
          <w:rFonts w:eastAsia="黑体"/>
          <w:b/>
          <w:bCs/>
          <w:color w:val="000000"/>
          <w:szCs w:val="21"/>
        </w:rPr>
        <w:t>1 抽样方法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20" w:firstLineChars="200"/>
        <w:textAlignment w:val="auto"/>
        <w:rPr>
          <w:rFonts w:ascii="宋体" w:hAnsi="宋体" w:eastAsia="宋体" w:cs="宋体"/>
        </w:rPr>
      </w:pPr>
      <w:r>
        <w:rPr>
          <w:rFonts w:ascii="宋体" w:hAnsi="宋体" w:eastAsia="宋体" w:cs="宋体"/>
        </w:rPr>
        <w:t xml:space="preserve">以随机抽样的方式在被抽样生产者的待销产品中抽取。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20" w:firstLineChars="200"/>
        <w:textAlignment w:val="auto"/>
        <w:rPr>
          <w:rFonts w:hint="eastAsia"/>
          <w:lang w:eastAsia="zh-CN"/>
        </w:rPr>
      </w:pPr>
      <w:r>
        <w:t>随机数一般可使用随机数表等方法产生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lang w:val="en-US" w:eastAsia="zh-CN"/>
        </w:rPr>
        <w:t>1.1</w:t>
      </w:r>
      <w:r>
        <w:rPr>
          <w:rFonts w:hint="eastAsia"/>
        </w:rPr>
        <w:t>焦流中采样</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rPr>
        <w:t>用机械采样器或手工从焦流中采样时，应根据总焦流量计算石油焦的有效流过时间，并在该时间内等时、间隔地采样。每批样的采样份数不能少于五份，试样总量不少于10kg。</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rPr>
        <w:t>1.2运输工具顶部采样</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rPr>
        <w:t>在运输工具顶部采样时，在同一车上须至少在平均距离的五点上，从表层采取(经长途运输或停放后，应在焦层下0.2~0.3m处采样)，力求试样均匀，增加其代表性。每车的采样量不少于5kg，每批采样的车数按总车数的10%计量(但不能少于两车)，试样总量不少于10kg。</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rPr>
        <w:t>1.3焦堆采样</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hint="eastAsia"/>
        </w:rPr>
      </w:pPr>
      <w:r>
        <w:rPr>
          <w:rFonts w:hint="eastAsia"/>
        </w:rPr>
        <w:t>焦堆的采样点分布在焦堆表面各距底和顶0.5m和焦堆半高处的三条圆周线上，并分别等间距地布置三、五、八个采样点(见下图)。在各采样点表层(长期堆放后应在焦堆层下0.2~0.3m处)采样不少于0.5kg的石油焦试样，试样总量不少于8kg。</w:t>
      </w:r>
    </w:p>
    <w:p>
      <w:pPr>
        <w:pStyle w:val="2"/>
        <w:jc w:val="center"/>
        <w:rPr>
          <w:rFonts w:hint="eastAsia"/>
        </w:rPr>
      </w:pPr>
      <w:r>
        <w:drawing>
          <wp:inline distT="0" distB="0" distL="114300" distR="114300">
            <wp:extent cx="3027045" cy="2580640"/>
            <wp:effectExtent l="0" t="0" r="190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4055" t="6030" r="11400" b="4647"/>
                    <a:stretch>
                      <a:fillRect/>
                    </a:stretch>
                  </pic:blipFill>
                  <pic:spPr>
                    <a:xfrm>
                      <a:off x="0" y="0"/>
                      <a:ext cx="3027045" cy="2580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textAlignment w:val="auto"/>
        <w:rPr>
          <w:rFonts w:eastAsia="黑体"/>
          <w:b/>
          <w:bCs/>
          <w:color w:val="000000"/>
          <w:szCs w:val="21"/>
        </w:rPr>
      </w:pPr>
      <w:r>
        <w:rPr>
          <w:rFonts w:eastAsia="黑体"/>
          <w:b/>
          <w:bCs/>
          <w:color w:val="000000"/>
          <w:szCs w:val="21"/>
        </w:rPr>
        <w:t>2 检验依据</w:t>
      </w:r>
    </w:p>
    <w:tbl>
      <w:tblPr>
        <w:tblStyle w:val="16"/>
        <w:tblW w:w="7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60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序号</w:t>
            </w:r>
          </w:p>
        </w:tc>
        <w:tc>
          <w:tcPr>
            <w:tcW w:w="3607"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检验项目</w:t>
            </w:r>
          </w:p>
        </w:tc>
        <w:tc>
          <w:tcPr>
            <w:tcW w:w="2494" w:type="dxa"/>
          </w:tcPr>
          <w:p>
            <w:pPr>
              <w:jc w:val="cente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Pr>
          <w:p>
            <w:pPr>
              <w:jc w:val="cente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1</w:t>
            </w:r>
          </w:p>
        </w:tc>
        <w:tc>
          <w:tcPr>
            <w:tcW w:w="3607" w:type="dxa"/>
          </w:tcPr>
          <w:p>
            <w:pPr>
              <w:jc w:val="center"/>
              <w:rPr>
                <w:rFonts w:hint="eastAsia" w:ascii="Times New Roman" w:hAnsi="Times New Roman" w:eastAsia="宋体"/>
                <w:sz w:val="21"/>
                <w:vertAlign w:val="baseline"/>
                <w:lang w:eastAsia="zh-CN"/>
              </w:rPr>
            </w:pPr>
            <w:r>
              <w:rPr>
                <w:rFonts w:hint="eastAsia"/>
                <w:sz w:val="21"/>
                <w:vertAlign w:val="baseline"/>
                <w:lang w:eastAsia="zh-CN"/>
              </w:rPr>
              <w:t>钙含量</w:t>
            </w:r>
          </w:p>
        </w:tc>
        <w:tc>
          <w:tcPr>
            <w:tcW w:w="2494" w:type="dxa"/>
          </w:tcPr>
          <w:p>
            <w:pPr>
              <w:jc w:val="center"/>
              <w:rPr>
                <w:rFonts w:hint="default" w:ascii="Times New Roman" w:hAnsi="Times New Roman" w:eastAsia="宋体"/>
                <w:sz w:val="21"/>
                <w:vertAlign w:val="baseline"/>
                <w:lang w:val="en-US" w:eastAsia="zh-CN"/>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2</w:t>
            </w:r>
          </w:p>
        </w:tc>
        <w:tc>
          <w:tcPr>
            <w:tcW w:w="3607" w:type="dxa"/>
          </w:tcPr>
          <w:p>
            <w:pPr>
              <w:jc w:val="center"/>
              <w:rPr>
                <w:rFonts w:hint="eastAsia" w:ascii="Times New Roman" w:hAnsi="Times New Roman" w:eastAsia="宋体"/>
                <w:sz w:val="21"/>
                <w:vertAlign w:val="baseline"/>
                <w:lang w:eastAsia="zh-CN"/>
              </w:rPr>
            </w:pPr>
            <w:r>
              <w:rPr>
                <w:rFonts w:hint="eastAsia"/>
                <w:sz w:val="21"/>
                <w:vertAlign w:val="baseline"/>
                <w:lang w:eastAsia="zh-CN"/>
              </w:rPr>
              <w:t>铁含量</w:t>
            </w:r>
          </w:p>
        </w:tc>
        <w:tc>
          <w:tcPr>
            <w:tcW w:w="2494" w:type="dxa"/>
          </w:tcPr>
          <w:p>
            <w:pPr>
              <w:jc w:val="cente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5" w:type="dxa"/>
          </w:tcPr>
          <w:p>
            <w:pPr>
              <w:jc w:val="cente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3</w:t>
            </w:r>
          </w:p>
        </w:tc>
        <w:tc>
          <w:tcPr>
            <w:tcW w:w="3607" w:type="dxa"/>
          </w:tcPr>
          <w:p>
            <w:pPr>
              <w:jc w:val="center"/>
              <w:rPr>
                <w:rFonts w:hint="eastAsia" w:ascii="Times New Roman" w:hAnsi="Times New Roman" w:eastAsia="宋体"/>
                <w:sz w:val="21"/>
                <w:vertAlign w:val="baseline"/>
                <w:lang w:eastAsia="zh-CN"/>
              </w:rPr>
            </w:pPr>
            <w:r>
              <w:rPr>
                <w:rFonts w:hint="eastAsia"/>
                <w:sz w:val="21"/>
                <w:vertAlign w:val="baseline"/>
                <w:lang w:eastAsia="zh-CN"/>
              </w:rPr>
              <w:t>镍含量</w:t>
            </w:r>
          </w:p>
        </w:tc>
        <w:tc>
          <w:tcPr>
            <w:tcW w:w="2494" w:type="dxa"/>
          </w:tcPr>
          <w:p>
            <w:pPr>
              <w:jc w:val="cente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tcPr>
          <w:p>
            <w:pPr>
              <w:jc w:val="cente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4</w:t>
            </w:r>
          </w:p>
        </w:tc>
        <w:tc>
          <w:tcPr>
            <w:tcW w:w="3607" w:type="dxa"/>
          </w:tcPr>
          <w:p>
            <w:pPr>
              <w:jc w:val="center"/>
              <w:rPr>
                <w:rFonts w:hint="default" w:ascii="Times New Roman" w:hAnsi="Times New Roman" w:eastAsia="宋体"/>
                <w:sz w:val="21"/>
                <w:vertAlign w:val="baseline"/>
                <w:lang w:val="en-US" w:eastAsia="zh-CN"/>
              </w:rPr>
            </w:pPr>
            <w:r>
              <w:rPr>
                <w:rFonts w:hint="eastAsia"/>
                <w:sz w:val="21"/>
                <w:vertAlign w:val="baseline"/>
                <w:lang w:val="en-US" w:eastAsia="zh-CN"/>
              </w:rPr>
              <w:t>钠含量</w:t>
            </w:r>
          </w:p>
        </w:tc>
        <w:tc>
          <w:tcPr>
            <w:tcW w:w="2494" w:type="dxa"/>
          </w:tcPr>
          <w:p>
            <w:pPr>
              <w:jc w:val="cente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bl>
    <w:p>
      <w:pPr>
        <w:pStyle w:val="2"/>
        <w:spacing w:before="143"/>
        <w:ind w:firstLine="420" w:firstLineChars="200"/>
      </w:pPr>
      <w: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spacing w:val="-2"/>
        </w:rPr>
      </w:pPr>
      <w:r>
        <w:rPr>
          <w:rFonts w:ascii="宋体" w:hAnsi="宋体" w:eastAsia="宋体" w:cs="宋体"/>
        </w:rPr>
        <w:t>凡是注日期的文件，其随后所有的</w:t>
      </w:r>
      <w:bookmarkStart w:id="2" w:name="_GoBack"/>
      <w:bookmarkEnd w:id="2"/>
      <w:r>
        <w:rPr>
          <w:rFonts w:ascii="宋体" w:hAnsi="宋体" w:eastAsia="宋体" w:cs="宋体"/>
        </w:rPr>
        <w:t>修改单（不包括勘误的内容）或修订版不适用于本细则。凡</w:t>
      </w:r>
      <w:r>
        <w:rPr>
          <w:spacing w:val="-2"/>
        </w:rPr>
        <w:t>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eastAsia="黑体"/>
          <w:b/>
          <w:bCs/>
          <w:color w:val="000000"/>
          <w:szCs w:val="21"/>
        </w:rPr>
      </w:pPr>
      <w:r>
        <w:rPr>
          <w:rFonts w:eastAsia="黑体"/>
          <w:b/>
          <w:bCs/>
          <w:color w:val="000000"/>
          <w:szCs w:val="21"/>
        </w:rPr>
        <w:t>3 判定规则</w:t>
      </w:r>
    </w:p>
    <w:p>
      <w:pPr>
        <w:snapToGrid w:val="0"/>
        <w:spacing w:line="440" w:lineRule="exact"/>
        <w:rPr>
          <w:color w:val="000000"/>
          <w:szCs w:val="21"/>
        </w:rPr>
      </w:pPr>
      <w:r>
        <w:rPr>
          <w:color w:val="000000"/>
          <w:szCs w:val="21"/>
        </w:rPr>
        <w:t>3.1依据标准</w:t>
      </w:r>
    </w:p>
    <w:p>
      <w:pPr>
        <w:snapToGrid w:val="0"/>
        <w:spacing w:line="440" w:lineRule="exact"/>
        <w:ind w:firstLine="420" w:firstLineChars="200"/>
        <w:rPr>
          <w:rFonts w:hint="eastAsia" w:ascii="Times New Roman" w:hAnsi="Times New Roman" w:eastAsia="宋体" w:cs="宋体"/>
          <w:sz w:val="21"/>
          <w:vertAlign w:val="baseline"/>
          <w:lang w:val="en-US" w:eastAsia="zh-CN"/>
        </w:rPr>
      </w:pPr>
      <w:bookmarkStart w:id="0" w:name="_Hlk32567754"/>
      <w:r>
        <w:rPr>
          <w:rFonts w:hint="eastAsia"/>
          <w:sz w:val="21"/>
          <w:vertAlign w:val="baseline"/>
          <w:lang w:val="en-US" w:eastAsia="zh-CN"/>
        </w:rPr>
        <w:t xml:space="preserve">SN/T 1830-2006 </w:t>
      </w:r>
      <w:r>
        <w:rPr>
          <w:rFonts w:hint="eastAsia" w:ascii="Times New Roman" w:hAnsi="Times New Roman" w:eastAsia="宋体" w:cs="宋体"/>
          <w:sz w:val="21"/>
          <w:vertAlign w:val="baseline"/>
          <w:lang w:val="en-US" w:eastAsia="zh-CN"/>
        </w:rPr>
        <w:t>石油焦炭中钙、铁、镍、钠含量测定原子吸收光谱法(AAS)</w:t>
      </w:r>
    </w:p>
    <w:p>
      <w:pPr>
        <w:snapToGrid w:val="0"/>
        <w:spacing w:line="440" w:lineRule="exact"/>
        <w:ind w:firstLine="420" w:firstLineChars="200"/>
        <w:rPr>
          <w:color w:val="000000"/>
          <w:szCs w:val="21"/>
        </w:rPr>
      </w:pPr>
      <w:r>
        <w:t>现行有效的企业标准、团体标准、地方标准及产品明示质量要求</w:t>
      </w:r>
    </w:p>
    <w:bookmarkEnd w:id="0"/>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bookmarkStart w:id="1" w:name="_Hlk33514746"/>
      <w:r>
        <w:rPr>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bookmarkEnd w:id="1"/>
    </w:p>
    <w:p/>
    <w:p>
      <w:pPr>
        <w:snapToGrid w:val="0"/>
        <w:spacing w:line="440" w:lineRule="exact"/>
        <w:ind w:firstLine="361" w:firstLineChars="171"/>
        <w:rPr>
          <w:b/>
          <w:bCs/>
          <w:color w:val="000000"/>
          <w:szCs w:val="21"/>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96364"/>
    <w:rsid w:val="00B43152"/>
    <w:rsid w:val="00CB0B01"/>
    <w:rsid w:val="0451649D"/>
    <w:rsid w:val="05DF47BA"/>
    <w:rsid w:val="06ED369B"/>
    <w:rsid w:val="078B4DE6"/>
    <w:rsid w:val="086C5ED5"/>
    <w:rsid w:val="08920043"/>
    <w:rsid w:val="09317E4D"/>
    <w:rsid w:val="0AB27349"/>
    <w:rsid w:val="0B175121"/>
    <w:rsid w:val="0CAF1ED7"/>
    <w:rsid w:val="0CDB11FA"/>
    <w:rsid w:val="0DDF1329"/>
    <w:rsid w:val="0E207D89"/>
    <w:rsid w:val="0E5D20A0"/>
    <w:rsid w:val="0F430A15"/>
    <w:rsid w:val="0FA630AF"/>
    <w:rsid w:val="105D4C78"/>
    <w:rsid w:val="11AE5794"/>
    <w:rsid w:val="11B802E0"/>
    <w:rsid w:val="14015B41"/>
    <w:rsid w:val="16043A29"/>
    <w:rsid w:val="18E77D88"/>
    <w:rsid w:val="1E597571"/>
    <w:rsid w:val="1E950ACD"/>
    <w:rsid w:val="1FA80407"/>
    <w:rsid w:val="21BF42D7"/>
    <w:rsid w:val="24785B9A"/>
    <w:rsid w:val="24B6095C"/>
    <w:rsid w:val="2581179E"/>
    <w:rsid w:val="28057CCD"/>
    <w:rsid w:val="28121907"/>
    <w:rsid w:val="2898430F"/>
    <w:rsid w:val="289B4674"/>
    <w:rsid w:val="2A4E6A6D"/>
    <w:rsid w:val="2A5D4007"/>
    <w:rsid w:val="2B5B0E29"/>
    <w:rsid w:val="2BC34727"/>
    <w:rsid w:val="2C8D553A"/>
    <w:rsid w:val="2F0E643D"/>
    <w:rsid w:val="3193401D"/>
    <w:rsid w:val="375E7AC7"/>
    <w:rsid w:val="38327AD8"/>
    <w:rsid w:val="38EC0A91"/>
    <w:rsid w:val="3BFD007D"/>
    <w:rsid w:val="3DE538D7"/>
    <w:rsid w:val="3E9617D1"/>
    <w:rsid w:val="45C11FF8"/>
    <w:rsid w:val="46677785"/>
    <w:rsid w:val="4756027D"/>
    <w:rsid w:val="47C04622"/>
    <w:rsid w:val="4B57534E"/>
    <w:rsid w:val="4C101DDA"/>
    <w:rsid w:val="4D685089"/>
    <w:rsid w:val="4DB03E86"/>
    <w:rsid w:val="4E774FB6"/>
    <w:rsid w:val="4EE65F25"/>
    <w:rsid w:val="4FC87E19"/>
    <w:rsid w:val="51D5647D"/>
    <w:rsid w:val="53B242A1"/>
    <w:rsid w:val="54BE1312"/>
    <w:rsid w:val="56CF35E7"/>
    <w:rsid w:val="5C6006E7"/>
    <w:rsid w:val="5D4E4BCE"/>
    <w:rsid w:val="5EAB2C10"/>
    <w:rsid w:val="5F553D3A"/>
    <w:rsid w:val="6151020B"/>
    <w:rsid w:val="625F4D3D"/>
    <w:rsid w:val="653A6D95"/>
    <w:rsid w:val="676C5A62"/>
    <w:rsid w:val="69260064"/>
    <w:rsid w:val="6C045675"/>
    <w:rsid w:val="6DFC5070"/>
    <w:rsid w:val="6FD84114"/>
    <w:rsid w:val="7114324D"/>
    <w:rsid w:val="7174766A"/>
    <w:rsid w:val="71EC574C"/>
    <w:rsid w:val="72B039DC"/>
    <w:rsid w:val="763E04C6"/>
    <w:rsid w:val="79D96364"/>
    <w:rsid w:val="7A3E09C0"/>
    <w:rsid w:val="7E9545DF"/>
    <w:rsid w:val="7FA5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spacing w:beforeLines="0" w:beforeAutospacing="0" w:afterLines="0" w:afterAutospacing="0" w:line="360" w:lineRule="auto"/>
      <w:jc w:val="center"/>
      <w:outlineLvl w:val="0"/>
    </w:pPr>
    <w:rPr>
      <w:rFonts w:cs="Times New Roman"/>
      <w:b/>
      <w:kern w:val="44"/>
      <w:sz w:val="28"/>
    </w:rPr>
  </w:style>
  <w:style w:type="paragraph" w:styleId="4">
    <w:name w:val="heading 2"/>
    <w:basedOn w:val="1"/>
    <w:next w:val="1"/>
    <w:link w:val="22"/>
    <w:semiHidden/>
    <w:unhideWhenUsed/>
    <w:qFormat/>
    <w:uiPriority w:val="0"/>
    <w:pPr>
      <w:keepNext/>
      <w:keepLines/>
      <w:spacing w:line="360" w:lineRule="auto"/>
      <w:ind w:left="0" w:leftChars="100" w:hanging="567"/>
      <w:jc w:val="left"/>
      <w:outlineLvl w:val="1"/>
    </w:pPr>
    <w:rPr>
      <w:rFonts w:cs="Times New Roman"/>
      <w:b/>
      <w:bCs/>
      <w:sz w:val="28"/>
      <w:szCs w:val="32"/>
    </w:rPr>
  </w:style>
  <w:style w:type="paragraph" w:styleId="5">
    <w:name w:val="heading 3"/>
    <w:basedOn w:val="1"/>
    <w:next w:val="6"/>
    <w:link w:val="20"/>
    <w:semiHidden/>
    <w:unhideWhenUsed/>
    <w:qFormat/>
    <w:uiPriority w:val="0"/>
    <w:pPr>
      <w:keepNext/>
      <w:keepLines/>
      <w:spacing w:line="360" w:lineRule="auto"/>
      <w:ind w:left="709" w:hanging="709"/>
      <w:outlineLvl w:val="2"/>
    </w:pPr>
    <w:rPr>
      <w:rFonts w:cs="Times New Roman"/>
      <w:b/>
      <w:bCs/>
      <w:szCs w:val="32"/>
    </w:rPr>
  </w:style>
  <w:style w:type="paragraph" w:styleId="7">
    <w:name w:val="heading 4"/>
    <w:basedOn w:val="1"/>
    <w:next w:val="1"/>
    <w:link w:val="19"/>
    <w:semiHidden/>
    <w:unhideWhenUsed/>
    <w:qFormat/>
    <w:uiPriority w:val="0"/>
    <w:pPr>
      <w:keepNext/>
      <w:keepLines/>
      <w:spacing w:line="360" w:lineRule="auto"/>
      <w:ind w:firstLine="0" w:firstLineChars="0"/>
      <w:outlineLvl w:val="3"/>
    </w:pPr>
    <w:rPr>
      <w:b/>
      <w:bCs/>
      <w:szCs w:val="28"/>
    </w:rPr>
  </w:style>
  <w:style w:type="paragraph" w:styleId="8">
    <w:name w:val="heading 5"/>
    <w:basedOn w:val="1"/>
    <w:next w:val="1"/>
    <w:link w:val="23"/>
    <w:semiHidden/>
    <w:unhideWhenUsed/>
    <w:qFormat/>
    <w:uiPriority w:val="0"/>
    <w:pPr>
      <w:keepNext/>
      <w:keepLines/>
      <w:spacing w:beforeLines="0" w:beforeAutospacing="0" w:afterLines="0" w:afterAutospacing="0" w:line="360" w:lineRule="auto"/>
      <w:jc w:val="left"/>
      <w:outlineLvl w:val="4"/>
    </w:pPr>
    <w:rPr>
      <w:rFonts w:ascii="宋体" w:hAnsi="宋体" w:cs="Times New Roman"/>
    </w:rPr>
  </w:style>
  <w:style w:type="paragraph" w:styleId="9">
    <w:name w:val="heading 6"/>
    <w:basedOn w:val="1"/>
    <w:next w:val="1"/>
    <w:link w:val="24"/>
    <w:semiHidden/>
    <w:unhideWhenUsed/>
    <w:qFormat/>
    <w:uiPriority w:val="0"/>
    <w:pPr>
      <w:keepNext/>
      <w:keepLines/>
      <w:spacing w:beforeLines="0" w:beforeAutospacing="0" w:afterLines="0" w:afterAutospacing="0" w:line="360" w:lineRule="auto"/>
      <w:ind w:left="-164" w:firstLine="403" w:firstLineChars="0"/>
      <w:outlineLvl w:val="5"/>
    </w:pPr>
    <w:rPr>
      <w:rFonts w:ascii="宋体" w:hAnsi="宋体" w:cs="Times New Roman"/>
    </w:rPr>
  </w:style>
  <w:style w:type="paragraph" w:styleId="10">
    <w:name w:val="heading 7"/>
    <w:basedOn w:val="1"/>
    <w:next w:val="1"/>
    <w:semiHidden/>
    <w:unhideWhenUsed/>
    <w:qFormat/>
    <w:uiPriority w:val="0"/>
    <w:pPr>
      <w:keepNext/>
      <w:keepLines/>
      <w:spacing w:beforeLines="0" w:beforeAutospacing="0" w:afterLines="0" w:afterAutospacing="0" w:line="360" w:lineRule="auto"/>
      <w:outlineLvl w:val="6"/>
    </w:pPr>
    <w:rPr>
      <w:rFonts w:cstheme="minorBidi"/>
      <w:kern w:val="2"/>
      <w:szCs w:val="24"/>
      <w:lang w:eastAsia="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Indent"/>
    <w:basedOn w:val="1"/>
    <w:qFormat/>
    <w:uiPriority w:val="0"/>
    <w:pPr>
      <w:ind w:firstLine="420" w:firstLineChars="200"/>
    </w:p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Indent"/>
    <w:basedOn w:val="1"/>
    <w:uiPriority w:val="0"/>
    <w:pPr>
      <w:spacing w:after="120" w:afterLines="0" w:afterAutospacing="0"/>
      <w:ind w:left="420" w:left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Body Text First Indent 2"/>
    <w:basedOn w:val="12"/>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标题5"/>
    <w:basedOn w:val="1"/>
    <w:next w:val="1"/>
    <w:qFormat/>
    <w:uiPriority w:val="0"/>
    <w:pPr>
      <w:keepNext/>
      <w:keepLines/>
      <w:spacing w:before="260" w:beforeLines="0" w:after="260" w:afterLines="0"/>
      <w:outlineLvl w:val="1"/>
    </w:pPr>
    <w:rPr>
      <w:rFonts w:hint="eastAsia" w:eastAsia="华文中宋"/>
    </w:rPr>
  </w:style>
  <w:style w:type="character" w:customStyle="1" w:styleId="19">
    <w:name w:val="标题 4 Char"/>
    <w:link w:val="7"/>
    <w:qFormat/>
    <w:uiPriority w:val="0"/>
    <w:rPr>
      <w:rFonts w:ascii="宋体" w:hAnsi="宋体" w:eastAsia="宋体" w:cs="宋体"/>
      <w:b/>
      <w:bCs/>
      <w:kern w:val="2"/>
      <w:szCs w:val="28"/>
      <w:lang w:eastAsia="zh-CN"/>
    </w:rPr>
  </w:style>
  <w:style w:type="character" w:customStyle="1" w:styleId="20">
    <w:name w:val="标题 3 Char"/>
    <w:link w:val="5"/>
    <w:qFormat/>
    <w:uiPriority w:val="0"/>
    <w:rPr>
      <w:rFonts w:ascii="宋体" w:hAnsi="宋体" w:eastAsia="宋体" w:cs="Times New Roman"/>
      <w:b/>
      <w:bCs/>
      <w:sz w:val="24"/>
      <w:szCs w:val="32"/>
    </w:rPr>
  </w:style>
  <w:style w:type="character" w:customStyle="1" w:styleId="21">
    <w:name w:val="标题 1 Char"/>
    <w:link w:val="3"/>
    <w:qFormat/>
    <w:uiPriority w:val="0"/>
    <w:rPr>
      <w:rFonts w:ascii="宋体" w:hAnsi="宋体" w:eastAsia="宋体" w:cs="Times New Roman"/>
      <w:b/>
      <w:kern w:val="44"/>
      <w:sz w:val="28"/>
    </w:rPr>
  </w:style>
  <w:style w:type="character" w:customStyle="1" w:styleId="22">
    <w:name w:val="标题 2 Char"/>
    <w:link w:val="4"/>
    <w:qFormat/>
    <w:uiPriority w:val="0"/>
    <w:rPr>
      <w:rFonts w:ascii="宋体" w:hAnsi="宋体" w:eastAsia="宋体" w:cs="Times New Roman"/>
      <w:b/>
      <w:bCs/>
      <w:sz w:val="28"/>
      <w:szCs w:val="32"/>
    </w:rPr>
  </w:style>
  <w:style w:type="character" w:customStyle="1" w:styleId="23">
    <w:name w:val="标题 5 Char"/>
    <w:link w:val="8"/>
    <w:qFormat/>
    <w:uiPriority w:val="0"/>
    <w:rPr>
      <w:rFonts w:ascii="宋体" w:hAnsi="宋体" w:eastAsia="宋体" w:cs="Times New Roman"/>
    </w:rPr>
  </w:style>
  <w:style w:type="character" w:customStyle="1" w:styleId="24">
    <w:name w:val="标题 6 Char"/>
    <w:link w:val="9"/>
    <w:qFormat/>
    <w:uiPriority w:val="0"/>
    <w:rPr>
      <w:rFonts w:ascii="宋体" w:hAnsi="宋体"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2021-09-23T07:21:00Z</dcterms:created>
  <dc:creator>Administrator</dc:creator>
  <cp:lastModifiedBy>Administrator</cp:lastModifiedBy>
  <dcterms:modified xsi:type="dcterms:W3CDTF">2021-09-23T08:12:55Z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3F39B1F4861447A486E98B152F8F0D3F</vt:lpwstr>
  </property>
</Properties>
</file>