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firstLine="643" w:firstLineChars="200"/>
        <w:jc w:val="center"/>
        <w:rPr>
          <w:rFonts w:hint="eastAsia" w:ascii="宋体" w:hAnsi="宋体"/>
          <w:b/>
          <w:bCs/>
          <w:color w:val="000000"/>
          <w:sz w:val="32"/>
          <w:szCs w:val="32"/>
        </w:rPr>
      </w:pPr>
      <w:r>
        <w:rPr>
          <w:rFonts w:hint="eastAsia" w:ascii="宋体" w:hAnsi="宋体"/>
          <w:b/>
          <w:bCs/>
          <w:color w:val="000000"/>
          <w:sz w:val="32"/>
          <w:szCs w:val="32"/>
        </w:rPr>
        <w:t>海口市</w:t>
      </w:r>
      <w:r>
        <w:rPr>
          <w:rFonts w:hint="eastAsia" w:ascii="宋体" w:hAnsi="宋体"/>
          <w:b/>
          <w:bCs/>
          <w:color w:val="000000"/>
          <w:sz w:val="32"/>
          <w:szCs w:val="32"/>
          <w:lang w:eastAsia="zh-CN"/>
        </w:rPr>
        <w:t>胶合剂</w:t>
      </w:r>
      <w:r>
        <w:rPr>
          <w:rFonts w:hint="eastAsia" w:ascii="宋体" w:hAnsi="宋体"/>
          <w:b/>
          <w:bCs/>
          <w:color w:val="000000"/>
          <w:sz w:val="32"/>
          <w:szCs w:val="32"/>
        </w:rPr>
        <w:t>产品质量监督抽查实施细则</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r>
        <w:rPr>
          <w:rFonts w:hint="eastAsia" w:ascii="宋体" w:hAnsi="宋体"/>
          <w:b/>
          <w:bCs/>
          <w:color w:val="000000"/>
          <w:sz w:val="32"/>
          <w:szCs w:val="32"/>
        </w:rPr>
        <w:t>海口市市场监督管理局</w:t>
      </w:r>
    </w:p>
    <w:p>
      <w:pPr>
        <w:snapToGrid w:val="0"/>
        <w:spacing w:line="440" w:lineRule="exact"/>
        <w:ind w:firstLine="643" w:firstLineChars="200"/>
        <w:jc w:val="center"/>
        <w:rPr>
          <w:rFonts w:eastAsia="方正小标宋简体" w:cs="方正仿宋简体"/>
          <w:color w:val="000000"/>
          <w:sz w:val="32"/>
          <w:szCs w:val="32"/>
        </w:rPr>
      </w:pPr>
      <w:r>
        <w:rPr>
          <w:rFonts w:hint="eastAsia" w:ascii="宋体" w:hAnsi="宋体"/>
          <w:b/>
          <w:bCs/>
          <w:color w:val="000000"/>
          <w:sz w:val="32"/>
          <w:szCs w:val="32"/>
        </w:rPr>
        <w:t>202</w:t>
      </w:r>
      <w:r>
        <w:rPr>
          <w:rFonts w:hint="eastAsia" w:ascii="宋体" w:hAnsi="宋体"/>
          <w:b/>
          <w:bCs/>
          <w:color w:val="000000"/>
          <w:sz w:val="32"/>
          <w:szCs w:val="32"/>
          <w:lang w:val="en-US" w:eastAsia="zh-CN"/>
        </w:rPr>
        <w:t>1</w:t>
      </w:r>
      <w:r>
        <w:rPr>
          <w:rFonts w:hint="eastAsia" w:ascii="宋体" w:hAnsi="宋体"/>
          <w:b/>
          <w:bCs/>
          <w:color w:val="000000"/>
          <w:sz w:val="32"/>
          <w:szCs w:val="32"/>
        </w:rPr>
        <w:t>年</w:t>
      </w:r>
      <w:r>
        <w:rPr>
          <w:rFonts w:hint="eastAsia" w:ascii="宋体" w:hAnsi="宋体"/>
          <w:b/>
          <w:bCs/>
          <w:color w:val="000000"/>
          <w:sz w:val="32"/>
          <w:szCs w:val="32"/>
          <w:lang w:val="en-US" w:eastAsia="zh-CN"/>
        </w:rPr>
        <w:t>9</w:t>
      </w:r>
      <w:r>
        <w:rPr>
          <w:rFonts w:hint="eastAsia" w:ascii="宋体" w:hAnsi="宋体"/>
          <w:b/>
          <w:bCs/>
          <w:color w:val="000000"/>
          <w:sz w:val="32"/>
          <w:szCs w:val="32"/>
        </w:rPr>
        <w:t>月</w:t>
      </w:r>
      <w:r>
        <w:rPr>
          <w:rFonts w:ascii="宋体" w:hAnsi="宋体"/>
          <w:b/>
          <w:bCs/>
          <w:color w:val="000000"/>
          <w:sz w:val="32"/>
          <w:szCs w:val="32"/>
        </w:rPr>
        <w:br w:type="page"/>
      </w:r>
      <w:r>
        <w:rPr>
          <w:rFonts w:hint="eastAsia" w:ascii="宋体" w:hAnsi="宋体"/>
          <w:b/>
          <w:bCs/>
          <w:color w:val="000000"/>
          <w:sz w:val="32"/>
          <w:szCs w:val="32"/>
        </w:rPr>
        <w:t>海口市</w:t>
      </w:r>
      <w:r>
        <w:rPr>
          <w:rFonts w:hint="eastAsia" w:ascii="宋体" w:hAnsi="宋体" w:eastAsia="宋体" w:cs="宋体"/>
          <w:b/>
          <w:bCs/>
          <w:sz w:val="30"/>
        </w:rPr>
        <w:t>合成</w:t>
      </w:r>
      <w:r>
        <w:rPr>
          <w:rFonts w:hint="eastAsia" w:ascii="宋体" w:hAnsi="宋体"/>
          <w:b/>
          <w:bCs/>
          <w:color w:val="000000"/>
          <w:sz w:val="32"/>
          <w:szCs w:val="32"/>
          <w:lang w:eastAsia="zh-CN"/>
        </w:rPr>
        <w:t>胶合剂</w:t>
      </w:r>
      <w:r>
        <w:rPr>
          <w:rFonts w:hint="eastAsia" w:ascii="宋体" w:hAnsi="宋体"/>
          <w:b/>
          <w:bCs/>
          <w:color w:val="000000"/>
          <w:sz w:val="32"/>
          <w:szCs w:val="32"/>
        </w:rPr>
        <w:t>产品质量监督抽查实施细则</w:t>
      </w:r>
    </w:p>
    <w:p>
      <w:pPr>
        <w:snapToGrid w:val="0"/>
        <w:spacing w:line="440" w:lineRule="exact"/>
        <w:rPr>
          <w:rFonts w:eastAsia="黑体"/>
          <w:b/>
          <w:bCs/>
          <w:color w:val="000000"/>
          <w:szCs w:val="21"/>
        </w:rPr>
      </w:pPr>
      <w:r>
        <w:rPr>
          <w:rFonts w:eastAsia="黑体"/>
          <w:b/>
          <w:bCs/>
          <w:color w:val="000000"/>
          <w:szCs w:val="21"/>
        </w:rPr>
        <w:t>1 抽样方法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20" w:firstLineChars="200"/>
        <w:textAlignment w:val="auto"/>
        <w:rPr>
          <w:rFonts w:ascii="宋体" w:hAnsi="宋体" w:eastAsia="宋体" w:cs="宋体"/>
        </w:rPr>
      </w:pPr>
      <w:r>
        <w:rPr>
          <w:rFonts w:ascii="宋体" w:hAnsi="宋体" w:eastAsia="宋体" w:cs="宋体"/>
        </w:rPr>
        <w:t xml:space="preserve">以随机抽样的方式在被抽样生产者的待销产品中抽取。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20" w:firstLineChars="200"/>
        <w:textAlignment w:val="auto"/>
        <w:rPr>
          <w:rFonts w:hint="eastAsia"/>
          <w:lang w:eastAsia="zh-CN"/>
        </w:rPr>
      </w:pPr>
      <w:r>
        <w:t>随机数一般可使用随机数表等方法产生</w:t>
      </w:r>
      <w:r>
        <w:rPr>
          <w:rFonts w:hint="eastAsia"/>
          <w:lang w:eastAsia="zh-CN"/>
        </w:rPr>
        <w:t>。</w:t>
      </w:r>
    </w:p>
    <w:p>
      <w:pPr>
        <w:pStyle w:val="2"/>
        <w:ind w:firstLine="420" w:firstLineChars="200"/>
        <w:rPr>
          <w:rFonts w:hint="eastAsia" w:eastAsia="黑体"/>
          <w:b/>
          <w:bCs/>
          <w:color w:val="000000"/>
          <w:szCs w:val="21"/>
          <w:lang w:val="en-US" w:eastAsia="zh-CN"/>
        </w:rPr>
      </w:pPr>
      <w:r>
        <w:rPr>
          <w:rFonts w:hint="eastAsia"/>
        </w:rPr>
        <w:t>在同一批产品中随机抽取</w:t>
      </w:r>
      <w:r>
        <w:rPr>
          <w:rFonts w:hint="eastAsia"/>
          <w:lang w:eastAsia="zh-CN"/>
        </w:rPr>
        <w:t>二</w:t>
      </w:r>
      <w:r>
        <w:rPr>
          <w:rFonts w:hint="eastAsia"/>
        </w:rPr>
        <w:t>份样品，抽取</w:t>
      </w:r>
      <w:r>
        <w:rPr>
          <w:rFonts w:hint="eastAsia"/>
          <w:lang w:eastAsia="zh-CN"/>
        </w:rPr>
        <w:t>检验样品</w:t>
      </w:r>
      <w:r>
        <w:rPr>
          <w:rFonts w:hint="eastAsia"/>
          <w:lang w:val="en-US" w:eastAsia="zh-CN"/>
        </w:rPr>
        <w:t>0.5kg，备用样品0.5kg。</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pPr>
      <w:r>
        <w:rPr>
          <w:rFonts w:eastAsia="黑体"/>
          <w:b/>
          <w:bCs/>
          <w:color w:val="000000"/>
          <w:szCs w:val="21"/>
        </w:rPr>
        <w:t>2 检验依据</w:t>
      </w:r>
    </w:p>
    <w:tbl>
      <w:tblPr>
        <w:tblStyle w:val="17"/>
        <w:tblW w:w="7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961"/>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序号</w:t>
            </w:r>
          </w:p>
        </w:tc>
        <w:tc>
          <w:tcPr>
            <w:tcW w:w="3961"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检验项目</w:t>
            </w:r>
          </w:p>
        </w:tc>
        <w:tc>
          <w:tcPr>
            <w:tcW w:w="2140"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jc w:val="cente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1</w:t>
            </w:r>
          </w:p>
        </w:tc>
        <w:tc>
          <w:tcPr>
            <w:tcW w:w="3961"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游离甲醛</w:t>
            </w:r>
          </w:p>
        </w:tc>
        <w:tc>
          <w:tcPr>
            <w:tcW w:w="2140" w:type="dxa"/>
          </w:tcPr>
          <w:p>
            <w:pPr>
              <w:jc w:val="center"/>
              <w:rPr>
                <w:rFonts w:hint="default" w:ascii="Times New Roman" w:hAnsi="Times New Roman" w:eastAsia="宋体"/>
                <w:sz w:val="21"/>
                <w:vertAlign w:val="baseline"/>
                <w:lang w:val="en-US"/>
              </w:rPr>
            </w:pPr>
            <w:r>
              <w:rPr>
                <w:rFonts w:hint="eastAsia" w:ascii="Times New Roman" w:hAnsi="Times New Roman" w:eastAsia="宋体" w:cs="宋体"/>
                <w:sz w:val="21"/>
                <w:vertAlign w:val="baseline"/>
                <w:lang w:val="en-US" w:eastAsia="zh-CN"/>
              </w:rPr>
              <w:t>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2</w:t>
            </w:r>
          </w:p>
        </w:tc>
        <w:tc>
          <w:tcPr>
            <w:tcW w:w="3961"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苯、二甲苯含量</w:t>
            </w:r>
          </w:p>
        </w:tc>
        <w:tc>
          <w:tcPr>
            <w:tcW w:w="2140" w:type="dxa"/>
          </w:tcPr>
          <w:p>
            <w:pPr>
              <w:jc w:val="center"/>
              <w:rPr>
                <w:rFonts w:hint="default" w:ascii="Times New Roman" w:hAnsi="Times New Roman" w:eastAsia="宋体"/>
                <w:sz w:val="21"/>
                <w:vertAlign w:val="baseline"/>
                <w:lang w:val="en-US"/>
              </w:rPr>
            </w:pPr>
            <w:r>
              <w:rPr>
                <w:rFonts w:hint="eastAsia" w:ascii="Times New Roman" w:hAnsi="Times New Roman" w:eastAsia="宋体" w:cs="宋体"/>
                <w:sz w:val="21"/>
                <w:vertAlign w:val="baseline"/>
                <w:lang w:val="en-US" w:eastAsia="zh-CN"/>
              </w:rPr>
              <w:t>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jc w:val="cente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3</w:t>
            </w:r>
          </w:p>
        </w:tc>
        <w:tc>
          <w:tcPr>
            <w:tcW w:w="3961"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游离甲苯二异氰酸酯</w:t>
            </w:r>
          </w:p>
        </w:tc>
        <w:tc>
          <w:tcPr>
            <w:tcW w:w="2140" w:type="dxa"/>
          </w:tcPr>
          <w:p>
            <w:pPr>
              <w:jc w:val="center"/>
              <w:rPr>
                <w:rFonts w:hint="default" w:ascii="Times New Roman" w:hAnsi="Times New Roman" w:eastAsia="宋体"/>
                <w:sz w:val="21"/>
                <w:vertAlign w:val="baseline"/>
                <w:lang w:val="en-US"/>
              </w:rPr>
            </w:pPr>
            <w:r>
              <w:rPr>
                <w:rFonts w:hint="eastAsia" w:ascii="Times New Roman" w:hAnsi="Times New Roman" w:eastAsia="宋体" w:cs="宋体"/>
                <w:sz w:val="21"/>
                <w:vertAlign w:val="baseline"/>
                <w:lang w:val="en-US" w:eastAsia="zh-CN"/>
              </w:rPr>
              <w:t>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4</w:t>
            </w:r>
          </w:p>
        </w:tc>
        <w:tc>
          <w:tcPr>
            <w:tcW w:w="3961" w:type="dxa"/>
          </w:tcPr>
          <w:p>
            <w:pPr>
              <w:jc w:val="cente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eastAsia="zh-CN"/>
              </w:rPr>
              <w:t>总挥发性有机物</w:t>
            </w:r>
            <w:r>
              <w:rPr>
                <w:rFonts w:hint="eastAsia" w:ascii="Times New Roman" w:hAnsi="Times New Roman" w:eastAsia="宋体"/>
                <w:sz w:val="21"/>
                <w:vertAlign w:val="baseline"/>
                <w:lang w:val="en-US" w:eastAsia="zh-CN"/>
              </w:rPr>
              <w:t>VOCs</w:t>
            </w:r>
          </w:p>
        </w:tc>
        <w:tc>
          <w:tcPr>
            <w:tcW w:w="2140" w:type="dxa"/>
          </w:tcPr>
          <w:p>
            <w:pPr>
              <w:jc w:val="center"/>
              <w:rPr>
                <w:rFonts w:hint="default" w:ascii="Times New Roman" w:hAnsi="Times New Roman" w:eastAsia="宋体"/>
                <w:sz w:val="21"/>
                <w:vertAlign w:val="baseline"/>
                <w:lang w:val="en-US"/>
              </w:rPr>
            </w:pPr>
            <w:r>
              <w:rPr>
                <w:rFonts w:hint="eastAsia" w:ascii="Times New Roman" w:hAnsi="Times New Roman" w:eastAsia="宋体" w:cs="宋体"/>
                <w:sz w:val="21"/>
                <w:vertAlign w:val="baseline"/>
                <w:lang w:val="en-US" w:eastAsia="zh-CN"/>
              </w:rPr>
              <w:t>GB 18583-2008</w:t>
            </w:r>
          </w:p>
        </w:tc>
      </w:tr>
    </w:tbl>
    <w:p>
      <w:pPr>
        <w:pStyle w:val="2"/>
        <w:spacing w:before="143"/>
        <w:ind w:firstLine="420" w:firstLineChars="200"/>
      </w:pPr>
      <w:r>
        <w:t>执行企业标准、团体标准、地方标准的产品，检验项目参照上述内容执行。</w:t>
      </w:r>
    </w:p>
    <w:p>
      <w:pPr>
        <w:snapToGrid w:val="0"/>
        <w:spacing w:line="440" w:lineRule="exact"/>
        <w:ind w:firstLine="359" w:firstLineChars="171"/>
        <w:rPr>
          <w:color w:val="000000"/>
          <w:szCs w:val="21"/>
        </w:rPr>
      </w:pPr>
      <w:r>
        <w:rPr>
          <w:rFonts w:ascii="宋体" w:hAnsi="宋体" w:eastAsia="宋体" w:cs="宋体"/>
        </w:rPr>
        <w:t>凡是注日期的文件，其随后所有的修改单（不包括勘误的内容）或修订版不适用于本细则。凡</w:t>
      </w:r>
      <w:r>
        <w:rPr>
          <w:spacing w:val="-2"/>
        </w:rPr>
        <w:t>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eastAsia="黑体"/>
          <w:b/>
          <w:bCs/>
          <w:color w:val="000000"/>
          <w:szCs w:val="21"/>
        </w:rPr>
      </w:pPr>
      <w:r>
        <w:rPr>
          <w:rFonts w:eastAsia="黑体"/>
          <w:b/>
          <w:bCs/>
          <w:color w:val="000000"/>
          <w:szCs w:val="21"/>
        </w:rPr>
        <w:t>3 判定规则</w:t>
      </w:r>
    </w:p>
    <w:p>
      <w:pPr>
        <w:snapToGrid w:val="0"/>
        <w:spacing w:line="440" w:lineRule="exact"/>
        <w:rPr>
          <w:color w:val="000000"/>
          <w:szCs w:val="21"/>
        </w:rPr>
      </w:pPr>
      <w:r>
        <w:rPr>
          <w:color w:val="000000"/>
          <w:szCs w:val="21"/>
        </w:rPr>
        <w:t>3.1依据标准</w:t>
      </w:r>
      <w:bookmarkStart w:id="2" w:name="_GoBack"/>
      <w:bookmarkEnd w:id="2"/>
    </w:p>
    <w:p>
      <w:pPr>
        <w:snapToGrid w:val="0"/>
        <w:spacing w:line="440" w:lineRule="exact"/>
        <w:ind w:firstLine="420" w:firstLineChars="200"/>
        <w:rPr>
          <w:rFonts w:hint="default" w:ascii="Times New Roman" w:hAnsi="Times New Roman" w:eastAsia="宋体" w:cs="宋体"/>
          <w:sz w:val="21"/>
          <w:vertAlign w:val="baseline"/>
          <w:lang w:val="en-US" w:eastAsia="zh-CN"/>
        </w:rPr>
      </w:pPr>
      <w:bookmarkStart w:id="0" w:name="_Hlk32567754"/>
      <w:r>
        <w:rPr>
          <w:rFonts w:hint="eastAsia" w:ascii="Times New Roman" w:hAnsi="Times New Roman" w:eastAsia="宋体" w:cs="宋体"/>
          <w:sz w:val="21"/>
          <w:vertAlign w:val="baseline"/>
          <w:lang w:val="en-US" w:eastAsia="zh-CN"/>
        </w:rPr>
        <w:t>GB 18583-2008</w:t>
      </w:r>
      <w:r>
        <w:rPr>
          <w:rFonts w:hint="eastAsia" w:cs="宋体"/>
          <w:sz w:val="21"/>
          <w:vertAlign w:val="baseline"/>
          <w:lang w:val="en-US" w:eastAsia="zh-CN"/>
        </w:rPr>
        <w:t xml:space="preserve"> 室内装饰装修材料胶粘剂中有害物质限量</w:t>
      </w:r>
    </w:p>
    <w:p>
      <w:pPr>
        <w:snapToGrid w:val="0"/>
        <w:spacing w:line="440" w:lineRule="exact"/>
        <w:ind w:firstLine="420" w:firstLineChars="200"/>
        <w:rPr>
          <w:color w:val="000000"/>
          <w:szCs w:val="21"/>
        </w:rPr>
      </w:pPr>
      <w:r>
        <w:t>现行有效的企业标准、团体标准、地方标准及产品明示质量要求</w:t>
      </w:r>
    </w:p>
    <w:bookmarkEnd w:id="0"/>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bookmarkStart w:id="1" w:name="_Hlk33514746"/>
      <w:r>
        <w:rPr>
          <w:color w:val="000000"/>
          <w:szCs w:val="21"/>
        </w:rPr>
        <w:t>经检验，检验项目全部合格，判定为被抽查产品合格；检验项目中任一项或一项以上不合格，判定为被抽查产品不合格。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A002A"/>
    <w:rsid w:val="00B43152"/>
    <w:rsid w:val="00CB0B01"/>
    <w:rsid w:val="0451649D"/>
    <w:rsid w:val="05DF47BA"/>
    <w:rsid w:val="06ED369B"/>
    <w:rsid w:val="078B4DE6"/>
    <w:rsid w:val="086C5ED5"/>
    <w:rsid w:val="08920043"/>
    <w:rsid w:val="09317E4D"/>
    <w:rsid w:val="0AB27349"/>
    <w:rsid w:val="0B175121"/>
    <w:rsid w:val="0CAF1ED7"/>
    <w:rsid w:val="0CDB11FA"/>
    <w:rsid w:val="0DDF1329"/>
    <w:rsid w:val="0E207D89"/>
    <w:rsid w:val="0E5D20A0"/>
    <w:rsid w:val="0EAA6BDE"/>
    <w:rsid w:val="0F430A15"/>
    <w:rsid w:val="0FA630AF"/>
    <w:rsid w:val="105D4C78"/>
    <w:rsid w:val="11AE5794"/>
    <w:rsid w:val="11B802E0"/>
    <w:rsid w:val="14015B41"/>
    <w:rsid w:val="16043A29"/>
    <w:rsid w:val="18E77D88"/>
    <w:rsid w:val="1E597571"/>
    <w:rsid w:val="1E950ACD"/>
    <w:rsid w:val="1FA80407"/>
    <w:rsid w:val="20EC13B8"/>
    <w:rsid w:val="21BF42D7"/>
    <w:rsid w:val="24785B9A"/>
    <w:rsid w:val="24B6095C"/>
    <w:rsid w:val="2581179E"/>
    <w:rsid w:val="28057CCD"/>
    <w:rsid w:val="28121907"/>
    <w:rsid w:val="2898430F"/>
    <w:rsid w:val="289B4674"/>
    <w:rsid w:val="2A4E6A6D"/>
    <w:rsid w:val="2A5D4007"/>
    <w:rsid w:val="2B5B0E29"/>
    <w:rsid w:val="2BC34727"/>
    <w:rsid w:val="2C8D553A"/>
    <w:rsid w:val="2F0E643D"/>
    <w:rsid w:val="3193401D"/>
    <w:rsid w:val="375E7AC7"/>
    <w:rsid w:val="38327AD8"/>
    <w:rsid w:val="38EC0A91"/>
    <w:rsid w:val="3BFD007D"/>
    <w:rsid w:val="3DE538D7"/>
    <w:rsid w:val="3E9617D1"/>
    <w:rsid w:val="45C11FF8"/>
    <w:rsid w:val="46677785"/>
    <w:rsid w:val="4756027D"/>
    <w:rsid w:val="47C04622"/>
    <w:rsid w:val="4B57534E"/>
    <w:rsid w:val="4C101DDA"/>
    <w:rsid w:val="4D685089"/>
    <w:rsid w:val="4DB03E86"/>
    <w:rsid w:val="4E774FB6"/>
    <w:rsid w:val="4EE65F25"/>
    <w:rsid w:val="4FC87E19"/>
    <w:rsid w:val="51D5647D"/>
    <w:rsid w:val="53B242A1"/>
    <w:rsid w:val="54BE1312"/>
    <w:rsid w:val="56CF35E7"/>
    <w:rsid w:val="5C6006E7"/>
    <w:rsid w:val="5D4E4BCE"/>
    <w:rsid w:val="5EAB2C10"/>
    <w:rsid w:val="5F553D3A"/>
    <w:rsid w:val="6151020B"/>
    <w:rsid w:val="625F4D3D"/>
    <w:rsid w:val="653A6D95"/>
    <w:rsid w:val="661A002A"/>
    <w:rsid w:val="676C5A62"/>
    <w:rsid w:val="69260064"/>
    <w:rsid w:val="6C045675"/>
    <w:rsid w:val="6DFC5070"/>
    <w:rsid w:val="6FD84114"/>
    <w:rsid w:val="7114324D"/>
    <w:rsid w:val="71EC574C"/>
    <w:rsid w:val="72B039DC"/>
    <w:rsid w:val="763E04C6"/>
    <w:rsid w:val="7A3E09C0"/>
    <w:rsid w:val="7E9545DF"/>
    <w:rsid w:val="7FA5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Lines="0" w:beforeAutospacing="0" w:afterLines="0" w:afterAutospacing="0" w:line="360" w:lineRule="auto"/>
      <w:jc w:val="center"/>
      <w:outlineLvl w:val="0"/>
    </w:pPr>
    <w:rPr>
      <w:rFonts w:cs="Times New Roman"/>
      <w:b/>
      <w:kern w:val="44"/>
      <w:sz w:val="28"/>
    </w:rPr>
  </w:style>
  <w:style w:type="paragraph" w:styleId="4">
    <w:name w:val="heading 2"/>
    <w:basedOn w:val="1"/>
    <w:next w:val="1"/>
    <w:link w:val="24"/>
    <w:semiHidden/>
    <w:unhideWhenUsed/>
    <w:qFormat/>
    <w:uiPriority w:val="0"/>
    <w:pPr>
      <w:keepNext/>
      <w:keepLines/>
      <w:spacing w:line="360" w:lineRule="auto"/>
      <w:ind w:left="0" w:leftChars="100" w:hanging="567"/>
      <w:jc w:val="left"/>
      <w:outlineLvl w:val="1"/>
    </w:pPr>
    <w:rPr>
      <w:rFonts w:cs="Times New Roman"/>
      <w:b/>
      <w:bCs/>
      <w:sz w:val="28"/>
      <w:szCs w:val="32"/>
    </w:rPr>
  </w:style>
  <w:style w:type="paragraph" w:styleId="5">
    <w:name w:val="heading 3"/>
    <w:basedOn w:val="1"/>
    <w:next w:val="6"/>
    <w:link w:val="22"/>
    <w:semiHidden/>
    <w:unhideWhenUsed/>
    <w:qFormat/>
    <w:uiPriority w:val="0"/>
    <w:pPr>
      <w:keepNext/>
      <w:keepLines/>
      <w:spacing w:line="360" w:lineRule="auto"/>
      <w:ind w:left="709" w:hanging="709"/>
      <w:outlineLvl w:val="2"/>
    </w:pPr>
    <w:rPr>
      <w:rFonts w:cs="Times New Roman"/>
      <w:b/>
      <w:bCs/>
      <w:szCs w:val="32"/>
    </w:rPr>
  </w:style>
  <w:style w:type="paragraph" w:styleId="7">
    <w:name w:val="heading 4"/>
    <w:basedOn w:val="1"/>
    <w:next w:val="1"/>
    <w:link w:val="21"/>
    <w:semiHidden/>
    <w:unhideWhenUsed/>
    <w:qFormat/>
    <w:uiPriority w:val="0"/>
    <w:pPr>
      <w:keepNext/>
      <w:keepLines/>
      <w:spacing w:line="360" w:lineRule="auto"/>
      <w:ind w:firstLine="0" w:firstLineChars="0"/>
      <w:outlineLvl w:val="3"/>
    </w:pPr>
    <w:rPr>
      <w:b/>
      <w:bCs/>
      <w:szCs w:val="28"/>
    </w:rPr>
  </w:style>
  <w:style w:type="paragraph" w:styleId="8">
    <w:name w:val="heading 5"/>
    <w:basedOn w:val="1"/>
    <w:next w:val="1"/>
    <w:link w:val="25"/>
    <w:semiHidden/>
    <w:unhideWhenUsed/>
    <w:qFormat/>
    <w:uiPriority w:val="0"/>
    <w:pPr>
      <w:keepNext/>
      <w:keepLines/>
      <w:spacing w:beforeLines="0" w:beforeAutospacing="0" w:afterLines="0" w:afterAutospacing="0" w:line="360" w:lineRule="auto"/>
      <w:jc w:val="left"/>
      <w:outlineLvl w:val="4"/>
    </w:pPr>
    <w:rPr>
      <w:rFonts w:ascii="宋体" w:hAnsi="宋体" w:cs="Times New Roman"/>
    </w:rPr>
  </w:style>
  <w:style w:type="paragraph" w:styleId="9">
    <w:name w:val="heading 6"/>
    <w:basedOn w:val="1"/>
    <w:next w:val="1"/>
    <w:link w:val="26"/>
    <w:semiHidden/>
    <w:unhideWhenUsed/>
    <w:qFormat/>
    <w:uiPriority w:val="0"/>
    <w:pPr>
      <w:keepNext/>
      <w:keepLines/>
      <w:spacing w:beforeLines="0" w:beforeAutospacing="0" w:afterLines="0" w:afterAutospacing="0" w:line="360" w:lineRule="auto"/>
      <w:ind w:left="-164" w:firstLine="403" w:firstLineChars="0"/>
      <w:outlineLvl w:val="5"/>
    </w:pPr>
    <w:rPr>
      <w:rFonts w:ascii="宋体" w:hAnsi="宋体" w:cs="Times New Roman"/>
    </w:rPr>
  </w:style>
  <w:style w:type="paragraph" w:styleId="10">
    <w:name w:val="heading 7"/>
    <w:basedOn w:val="1"/>
    <w:next w:val="1"/>
    <w:semiHidden/>
    <w:unhideWhenUsed/>
    <w:qFormat/>
    <w:uiPriority w:val="0"/>
    <w:pPr>
      <w:keepNext/>
      <w:keepLines/>
      <w:spacing w:beforeLines="0" w:beforeAutospacing="0" w:afterLines="0" w:afterAutospacing="0" w:line="360" w:lineRule="auto"/>
      <w:outlineLvl w:val="6"/>
    </w:pPr>
    <w:rPr>
      <w:rFonts w:cstheme="minorBidi"/>
      <w:kern w:val="2"/>
      <w:szCs w:val="24"/>
      <w:lang w:eastAsia="zh-CN"/>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Indent"/>
    <w:basedOn w:val="1"/>
    <w:qFormat/>
    <w:uiPriority w:val="0"/>
    <w:pPr>
      <w:ind w:firstLine="420" w:firstLineChars="200"/>
    </w:pPr>
  </w:style>
  <w:style w:type="paragraph" w:styleId="11">
    <w:name w:val="toa heading"/>
    <w:basedOn w:val="1"/>
    <w:next w:val="1"/>
    <w:qFormat/>
    <w:uiPriority w:val="0"/>
    <w:pPr>
      <w:spacing w:before="120" w:beforeLines="0" w:beforeAutospacing="0"/>
    </w:pPr>
    <w:rPr>
      <w:rFonts w:ascii="Arial" w:hAnsi="Arial"/>
      <w:sz w:val="24"/>
    </w:rPr>
  </w:style>
  <w:style w:type="paragraph" w:styleId="12">
    <w:name w:val="Body Text Indent"/>
    <w:basedOn w:val="1"/>
    <w:qFormat/>
    <w:uiPriority w:val="0"/>
    <w:pPr>
      <w:spacing w:after="120" w:afterLines="0" w:afterAutospacing="0"/>
      <w:ind w:left="420" w:leftChars="2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First Indent 2"/>
    <w:basedOn w:val="12"/>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paragraph" w:customStyle="1" w:styleId="20">
    <w:name w:val="标题5"/>
    <w:basedOn w:val="1"/>
    <w:next w:val="1"/>
    <w:qFormat/>
    <w:uiPriority w:val="0"/>
    <w:pPr>
      <w:keepNext/>
      <w:keepLines/>
      <w:spacing w:before="260" w:beforeLines="0" w:after="260" w:afterLines="0"/>
      <w:outlineLvl w:val="1"/>
    </w:pPr>
    <w:rPr>
      <w:rFonts w:hint="eastAsia" w:eastAsia="华文中宋"/>
    </w:rPr>
  </w:style>
  <w:style w:type="character" w:customStyle="1" w:styleId="21">
    <w:name w:val="标题 4 Char"/>
    <w:link w:val="7"/>
    <w:qFormat/>
    <w:uiPriority w:val="0"/>
    <w:rPr>
      <w:rFonts w:ascii="宋体" w:hAnsi="宋体" w:eastAsia="宋体" w:cs="宋体"/>
      <w:b/>
      <w:bCs/>
      <w:kern w:val="2"/>
      <w:szCs w:val="28"/>
      <w:lang w:eastAsia="zh-CN"/>
    </w:rPr>
  </w:style>
  <w:style w:type="character" w:customStyle="1" w:styleId="22">
    <w:name w:val="标题 3 Char"/>
    <w:link w:val="5"/>
    <w:qFormat/>
    <w:uiPriority w:val="0"/>
    <w:rPr>
      <w:rFonts w:ascii="宋体" w:hAnsi="宋体" w:eastAsia="宋体" w:cs="Times New Roman"/>
      <w:b/>
      <w:bCs/>
      <w:sz w:val="24"/>
      <w:szCs w:val="32"/>
    </w:rPr>
  </w:style>
  <w:style w:type="character" w:customStyle="1" w:styleId="23">
    <w:name w:val="标题 1 Char"/>
    <w:link w:val="3"/>
    <w:qFormat/>
    <w:uiPriority w:val="0"/>
    <w:rPr>
      <w:rFonts w:ascii="宋体" w:hAnsi="宋体" w:eastAsia="宋体" w:cs="Times New Roman"/>
      <w:b/>
      <w:kern w:val="44"/>
      <w:sz w:val="28"/>
    </w:rPr>
  </w:style>
  <w:style w:type="character" w:customStyle="1" w:styleId="24">
    <w:name w:val="标题 2 Char"/>
    <w:link w:val="4"/>
    <w:qFormat/>
    <w:uiPriority w:val="0"/>
    <w:rPr>
      <w:rFonts w:ascii="宋体" w:hAnsi="宋体" w:eastAsia="宋体" w:cs="Times New Roman"/>
      <w:b/>
      <w:bCs/>
      <w:sz w:val="28"/>
      <w:szCs w:val="32"/>
    </w:rPr>
  </w:style>
  <w:style w:type="character" w:customStyle="1" w:styleId="25">
    <w:name w:val="标题 5 Char"/>
    <w:link w:val="8"/>
    <w:qFormat/>
    <w:uiPriority w:val="0"/>
    <w:rPr>
      <w:rFonts w:ascii="宋体" w:hAnsi="宋体" w:eastAsia="宋体" w:cs="Times New Roman"/>
    </w:rPr>
  </w:style>
  <w:style w:type="character" w:customStyle="1" w:styleId="26">
    <w:name w:val="标题 6 Char"/>
    <w:link w:val="9"/>
    <w:qFormat/>
    <w:uiPriority w:val="0"/>
    <w:rPr>
      <w:rFonts w:ascii="宋体" w:hAnsi="宋体"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2021-09-23T06:20:00Z</dcterms:created>
  <dc:creator>Administrator</dc:creator>
  <cp:lastModifiedBy>Administrator</cp:lastModifiedBy>
  <dcterms:modified xsi:type="dcterms:W3CDTF">2021-09-23T08:12:24Z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4A6CF9BE55D34C9EBC4DBAC6DF31019D</vt:lpwstr>
  </property>
</Properties>
</file>