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sz w:val="30"/>
          <w:szCs w:val="30"/>
        </w:rPr>
      </w:pPr>
    </w:p>
    <w:p>
      <w:pPr>
        <w:jc w:val="center"/>
        <w:rPr>
          <w:rFonts w:ascii="黑体" w:hAnsi="黑体" w:eastAsia="黑体" w:cs="黑体"/>
          <w:sz w:val="44"/>
          <w:szCs w:val="44"/>
        </w:rPr>
      </w:pPr>
      <w:r>
        <w:rPr>
          <w:rFonts w:hint="eastAsia" w:ascii="黑体" w:hAnsi="黑体" w:eastAsia="黑体" w:cs="黑体"/>
          <w:sz w:val="44"/>
          <w:szCs w:val="44"/>
        </w:rPr>
        <w:t>海口市万绿园管理处</w:t>
      </w:r>
    </w:p>
    <w:p>
      <w:pPr>
        <w:jc w:val="center"/>
        <w:rPr>
          <w:rFonts w:ascii="黑体" w:hAnsi="ˎ̥" w:eastAsia="黑体"/>
          <w:sz w:val="44"/>
          <w:szCs w:val="44"/>
        </w:rPr>
      </w:pPr>
      <w:r>
        <w:rPr>
          <w:rFonts w:hint="eastAsia" w:ascii="黑体" w:hAnsi="ˎ̥" w:eastAsia="黑体"/>
          <w:sz w:val="44"/>
          <w:szCs w:val="44"/>
        </w:rPr>
        <w:t>2020年度部门决算公开文字说明</w:t>
      </w: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12"/>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2"/>
          <w:szCs w:val="32"/>
        </w:rPr>
        <w:t>第一部分  海口市万绿园管理处（单位）概况</w:t>
      </w:r>
      <w:r>
        <w:rPr>
          <w:sz w:val="32"/>
          <w:szCs w:val="32"/>
        </w:rPr>
        <w:tab/>
      </w:r>
      <w:r>
        <w:rPr>
          <w:rFonts w:hint="eastAsia"/>
          <w:sz w:val="32"/>
          <w:szCs w:val="32"/>
        </w:rPr>
        <w:t>3</w:t>
      </w:r>
      <w:r>
        <w:rPr>
          <w:rFonts w:hint="eastAsia"/>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一、单位职责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2"/>
        <w:tabs>
          <w:tab w:val="right" w:leader="dot" w:pos="8306"/>
        </w:tabs>
        <w:rPr>
          <w:sz w:val="32"/>
          <w:szCs w:val="32"/>
        </w:rPr>
      </w:pPr>
      <w:r>
        <w:fldChar w:fldCharType="begin"/>
      </w:r>
      <w:r>
        <w:instrText xml:space="preserve"> HYPERLINK \l "_Toc28253_WPSOffice_Level1" </w:instrText>
      </w:r>
      <w:r>
        <w:fldChar w:fldCharType="separate"/>
      </w:r>
      <w:r>
        <w:rPr>
          <w:rFonts w:hint="eastAsia" w:ascii="黑体" w:hAnsi="ˎ̥" w:eastAsia="黑体"/>
          <w:sz w:val="32"/>
          <w:szCs w:val="32"/>
        </w:rPr>
        <w:t>第二部分  海口市万绿园管理处（单位）2020年度单位决算公开表</w:t>
      </w:r>
      <w:r>
        <w:rPr>
          <w:sz w:val="32"/>
          <w:szCs w:val="32"/>
        </w:rPr>
        <w:tab/>
      </w:r>
      <w:r>
        <w:rPr>
          <w:rFonts w:hint="eastAsia"/>
          <w:sz w:val="32"/>
          <w:szCs w:val="32"/>
        </w:rPr>
        <w:t>3</w:t>
      </w:r>
      <w:r>
        <w:rPr>
          <w:rFonts w:hint="eastAsia"/>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3</w:t>
      </w:r>
    </w:p>
    <w:p>
      <w:pPr>
        <w:pStyle w:val="13"/>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2"/>
        <w:tabs>
          <w:tab w:val="right" w:leader="dot" w:pos="8306"/>
        </w:tabs>
        <w:rPr>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rFonts w:hint="eastAsia"/>
          <w:sz w:val="32"/>
          <w:szCs w:val="32"/>
        </w:rPr>
        <w:t xml:space="preserve">  </w:t>
      </w:r>
      <w:r>
        <w:rPr>
          <w:rFonts w:hint="eastAsia" w:ascii="黑体" w:hAnsi="ˎ̥" w:eastAsia="黑体"/>
          <w:sz w:val="32"/>
          <w:szCs w:val="32"/>
        </w:rPr>
        <w:t>海口市万绿园管理处（单位）2020年度单位决算情况说明</w:t>
      </w:r>
      <w:r>
        <w:rPr>
          <w:sz w:val="32"/>
          <w:szCs w:val="32"/>
        </w:rPr>
        <w:tab/>
      </w:r>
      <w:r>
        <w:rPr>
          <w:rFonts w:hint="eastAsia"/>
          <w:sz w:val="32"/>
          <w:szCs w:val="32"/>
        </w:rPr>
        <w:t>4</w:t>
      </w:r>
      <w:r>
        <w:rPr>
          <w:rFonts w:hint="eastAsia"/>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13"/>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bCs/>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13"/>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政府性基金预算财政拨款支出决算情况说明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13"/>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国有资本经营预算财政拨款支出决算情况说明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13"/>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13"/>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13"/>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pStyle w:val="13"/>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11</w:t>
      </w:r>
    </w:p>
    <w:p>
      <w:pPr>
        <w:pStyle w:val="13"/>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12"/>
        <w:tabs>
          <w:tab w:val="right" w:leader="dot" w:pos="8306"/>
        </w:tabs>
        <w:rPr>
          <w:sz w:val="32"/>
          <w:szCs w:val="32"/>
        </w:rPr>
      </w:pPr>
      <w:r>
        <w:fldChar w:fldCharType="begin"/>
      </w:r>
      <w:r>
        <w:instrText xml:space="preserve"> HYPERLINK \l "_Toc15425_WPSOffice_Level1" </w:instrText>
      </w:r>
      <w:r>
        <w:fldChar w:fldCharType="separate"/>
      </w:r>
      <w:r>
        <w:rPr>
          <w:rFonts w:hint="eastAsia" w:ascii="黑体" w:hAnsi="ˎ̥" w:eastAsia="黑体"/>
          <w:sz w:val="32"/>
          <w:szCs w:val="32"/>
        </w:rPr>
        <w:t>第四部分  名词解释</w:t>
      </w:r>
      <w:r>
        <w:rPr>
          <w:sz w:val="32"/>
          <w:szCs w:val="32"/>
        </w:rPr>
        <w:tab/>
      </w:r>
      <w:bookmarkStart w:id="1" w:name="_Toc15425_WPSOffice_Level1Page"/>
      <w:r>
        <w:rPr>
          <w:sz w:val="32"/>
          <w:szCs w:val="32"/>
        </w:rPr>
        <w:t>1</w:t>
      </w:r>
      <w:bookmarkEnd w:id="1"/>
      <w:r>
        <w:rPr>
          <w:sz w:val="32"/>
          <w:szCs w:val="32"/>
        </w:rPr>
        <w:fldChar w:fldCharType="end"/>
      </w:r>
      <w:bookmarkEnd w:id="0"/>
      <w:r>
        <w:rPr>
          <w:rFonts w:hint="eastAsia"/>
          <w:sz w:val="32"/>
          <w:szCs w:val="32"/>
        </w:rPr>
        <w:t>3</w:t>
      </w:r>
    </w:p>
    <w:p>
      <w:pPr>
        <w:jc w:val="left"/>
        <w:rPr>
          <w:rFonts w:ascii="黑体" w:hAnsi="黑体" w:eastAsia="黑体" w:cs="黑体"/>
          <w:sz w:val="32"/>
          <w:szCs w:val="32"/>
        </w:rPr>
      </w:pPr>
    </w:p>
    <w:p>
      <w:pPr>
        <w:jc w:val="center"/>
        <w:rPr>
          <w:rFonts w:ascii="黑体" w:hAnsi="ˎ̥" w:eastAsia="黑体"/>
          <w:b/>
          <w:sz w:val="32"/>
          <w:szCs w:val="32"/>
        </w:rPr>
      </w:pPr>
    </w:p>
    <w:p>
      <w:pPr>
        <w:jc w:val="center"/>
        <w:rPr>
          <w:rFonts w:ascii="黑体" w:hAnsi="ˎ̥" w:eastAsia="黑体"/>
          <w:sz w:val="32"/>
          <w:szCs w:val="32"/>
        </w:rPr>
      </w:pPr>
      <w:bookmarkStart w:id="2" w:name="_Toc23465_WPSOffice_Level1"/>
      <w:bookmarkStart w:id="3" w:name="_Toc22941_WPSOffice_Level1"/>
      <w:bookmarkStart w:id="4" w:name="_Toc1704_WPSOffice_Level1"/>
      <w:bookmarkStart w:id="5" w:name="_Toc10049_WPSOffice_Level1"/>
      <w:bookmarkStart w:id="6" w:name="_Toc10720_WPSOffice_Level1"/>
      <w:bookmarkStart w:id="7" w:name="_Toc32433_WPSOffice_Level1"/>
      <w:bookmarkStart w:id="8" w:name="_Toc24238_WPSOffice_Level2"/>
      <w:bookmarkStart w:id="9" w:name="_Toc14159_WPSOffice_Level2"/>
      <w:bookmarkStart w:id="10" w:name="_Toc20205_WPSOffice_Level2"/>
      <w:bookmarkStart w:id="11" w:name="_Toc32622_WPSOffice_Level2"/>
      <w:bookmarkStart w:id="12" w:name="_Toc20274_WPSOffice_Level2"/>
      <w:bookmarkStart w:id="13" w:name="_Toc26580_WPSOffice_Level2"/>
      <w:r>
        <w:rPr>
          <w:rFonts w:hint="eastAsia" w:ascii="黑体" w:hAnsi="ˎ̥" w:eastAsia="黑体"/>
          <w:sz w:val="32"/>
          <w:szCs w:val="32"/>
        </w:rPr>
        <w:t xml:space="preserve">第一部分  </w:t>
      </w:r>
      <w:bookmarkEnd w:id="2"/>
      <w:bookmarkEnd w:id="3"/>
      <w:bookmarkEnd w:id="4"/>
      <w:bookmarkEnd w:id="5"/>
      <w:bookmarkEnd w:id="6"/>
      <w:bookmarkEnd w:id="7"/>
      <w:r>
        <w:rPr>
          <w:rFonts w:hint="eastAsia" w:ascii="黑体" w:hAnsi="ˎ̥" w:eastAsia="黑体"/>
          <w:sz w:val="32"/>
          <w:szCs w:val="32"/>
        </w:rPr>
        <w:t>海口市万绿园管理处（单位）概况</w:t>
      </w:r>
    </w:p>
    <w:p>
      <w:pPr>
        <w:ind w:firstLine="640" w:firstLineChars="200"/>
        <w:rPr>
          <w:rFonts w:ascii="楷体" w:hAnsi="楷体" w:eastAsia="楷体" w:cs="楷体"/>
          <w:sz w:val="32"/>
          <w:szCs w:val="32"/>
        </w:rPr>
      </w:pPr>
    </w:p>
    <w:bookmarkEnd w:id="8"/>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单位职责</w:t>
      </w:r>
      <w:bookmarkEnd w:id="9"/>
      <w:bookmarkEnd w:id="10"/>
      <w:bookmarkEnd w:id="11"/>
      <w:bookmarkEnd w:id="12"/>
      <w:bookmarkEnd w:id="13"/>
    </w:p>
    <w:p>
      <w:pPr>
        <w:ind w:firstLine="640" w:firstLineChars="200"/>
        <w:rPr>
          <w:rFonts w:ascii="仿宋_GB2312" w:hAnsi="黑体" w:eastAsia="仿宋_GB2312" w:cs="仿宋_GB2312"/>
          <w:sz w:val="32"/>
          <w:szCs w:val="32"/>
        </w:rPr>
      </w:pPr>
      <w:bookmarkStart w:id="14" w:name="_Toc6572_WPSOffice_Level2"/>
      <w:bookmarkStart w:id="15" w:name="_Toc24474_WPSOffice_Level2"/>
      <w:bookmarkStart w:id="16" w:name="_Toc24059_WPSOffice_Level2"/>
      <w:bookmarkStart w:id="17" w:name="_Toc4833_WPSOffice_Level2"/>
      <w:bookmarkStart w:id="18" w:name="_Toc17796_WPSOffice_Level2"/>
      <w:r>
        <w:rPr>
          <w:rFonts w:hint="eastAsia" w:ascii="仿宋_GB2312" w:hAnsi="黑体" w:eastAsia="仿宋_GB2312" w:cs="仿宋_GB2312"/>
          <w:sz w:val="32"/>
          <w:szCs w:val="32"/>
        </w:rPr>
        <w:t>提供休闲场所，丰富人民群众文化生活。负责公园设施维护与管理，公园绿地管理</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海口市万绿园管理处内设办公室、综合科和绿化管理科3个正科级职能机构。</w:t>
      </w:r>
    </w:p>
    <w:p>
      <w:pPr>
        <w:jc w:val="left"/>
        <w:rPr>
          <w:rFonts w:ascii="黑体" w:hAnsi="ˎ̥" w:eastAsia="黑体"/>
          <w:sz w:val="32"/>
          <w:szCs w:val="32"/>
        </w:rPr>
      </w:pPr>
      <w:bookmarkStart w:id="19" w:name="_Toc28253_WPSOffice_Level1"/>
      <w:bookmarkStart w:id="20" w:name="_Toc8164_WPSOffice_Level1"/>
      <w:bookmarkStart w:id="21" w:name="_Toc30451_WPSOffice_Level1"/>
      <w:bookmarkStart w:id="22" w:name="_Toc30690_WPSOffice_Level1"/>
      <w:bookmarkStart w:id="23" w:name="_Toc6234_WPSOffice_Level1"/>
      <w:bookmarkStart w:id="24" w:name="_Toc15521_WPSOffice_Level1"/>
      <w:bookmarkStart w:id="25" w:name="_Toc6211_WPSOffice_Level2"/>
      <w:bookmarkStart w:id="26" w:name="_Toc32695_WPSOffice_Level2"/>
      <w:bookmarkStart w:id="27" w:name="_Toc8867_WPSOffice_Level2"/>
      <w:bookmarkStart w:id="28" w:name="_Toc4029_WPSOffice_Level2"/>
      <w:bookmarkStart w:id="29" w:name="_Toc32472_WPSOffice_Level2"/>
      <w:bookmarkStart w:id="30" w:name="_Toc11518_WPSOffice_Level2"/>
      <w:r>
        <w:rPr>
          <w:rFonts w:hint="eastAsia" w:ascii="黑体" w:hAnsi="黑体" w:eastAsia="黑体" w:cs="黑体"/>
          <w:sz w:val="32"/>
          <w:szCs w:val="32"/>
        </w:rPr>
        <w:t xml:space="preserve">    </w:t>
      </w:r>
      <w:r>
        <w:rPr>
          <w:rFonts w:hint="eastAsia" w:ascii="黑体" w:hAnsi="ˎ̥" w:eastAsia="黑体"/>
          <w:sz w:val="32"/>
          <w:szCs w:val="32"/>
        </w:rPr>
        <w:t>第二部分  海口市万绿园管理处（单位）2020年度单位决算公开报表</w:t>
      </w:r>
      <w:bookmarkEnd w:id="19"/>
      <w:bookmarkEnd w:id="20"/>
      <w:bookmarkEnd w:id="21"/>
      <w:bookmarkEnd w:id="22"/>
      <w:bookmarkEnd w:id="23"/>
      <w:bookmarkEnd w:id="24"/>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5"/>
      <w:bookmarkEnd w:id="26"/>
      <w:bookmarkEnd w:id="27"/>
      <w:r>
        <w:rPr>
          <w:rFonts w:hint="eastAsia" w:ascii="黑体" w:hAnsi="黑体" w:eastAsia="黑体" w:cs="黑体"/>
          <w:sz w:val="32"/>
          <w:szCs w:val="32"/>
        </w:rPr>
        <w:t>。</w:t>
      </w:r>
      <w:bookmarkEnd w:id="28"/>
      <w:bookmarkEnd w:id="29"/>
      <w:bookmarkEnd w:id="30"/>
    </w:p>
    <w:p>
      <w:pPr>
        <w:ind w:firstLine="645"/>
        <w:rPr>
          <w:rFonts w:ascii="黑体" w:hAnsi="黑体" w:eastAsia="黑体" w:cs="黑体"/>
          <w:sz w:val="32"/>
          <w:szCs w:val="32"/>
        </w:rPr>
      </w:pPr>
      <w:bookmarkStart w:id="31" w:name="_Toc23139_WPSOffice_Level2"/>
      <w:bookmarkStart w:id="32" w:name="_Toc25608_WPSOffice_Level2"/>
      <w:bookmarkStart w:id="33" w:name="_Toc26621_WPSOffice_Level2"/>
      <w:bookmarkStart w:id="34" w:name="_Toc30334_WPSOffice_Level2"/>
      <w:bookmarkStart w:id="35" w:name="_Toc14349_WPSOffice_Level2"/>
      <w:bookmarkStart w:id="36" w:name="_Toc28622_WPSOffice_Level2"/>
      <w:r>
        <w:rPr>
          <w:rFonts w:hint="eastAsia" w:ascii="黑体" w:hAnsi="黑体" w:eastAsia="黑体" w:cs="黑体"/>
          <w:sz w:val="32"/>
          <w:szCs w:val="32"/>
        </w:rPr>
        <w:t>二、收入决算公开表（见正文附件）</w:t>
      </w:r>
      <w:bookmarkEnd w:id="31"/>
      <w:bookmarkEnd w:id="32"/>
      <w:bookmarkEnd w:id="33"/>
      <w:r>
        <w:rPr>
          <w:rFonts w:hint="eastAsia" w:ascii="黑体" w:hAnsi="黑体" w:eastAsia="黑体" w:cs="黑体"/>
          <w:sz w:val="32"/>
          <w:szCs w:val="32"/>
        </w:rPr>
        <w:t>。</w:t>
      </w:r>
      <w:bookmarkEnd w:id="34"/>
      <w:bookmarkEnd w:id="35"/>
      <w:bookmarkEnd w:id="36"/>
    </w:p>
    <w:p>
      <w:pPr>
        <w:ind w:firstLine="645"/>
        <w:rPr>
          <w:rFonts w:ascii="黑体" w:hAnsi="黑体" w:eastAsia="黑体" w:cs="黑体"/>
          <w:sz w:val="32"/>
          <w:szCs w:val="32"/>
        </w:rPr>
      </w:pPr>
      <w:bookmarkStart w:id="37" w:name="_Toc17626_WPSOffice_Level2"/>
      <w:bookmarkStart w:id="38" w:name="_Toc3262_WPSOffice_Level2"/>
      <w:bookmarkStart w:id="39" w:name="_Toc17858_WPSOffice_Level2"/>
      <w:bookmarkStart w:id="40" w:name="_Toc14658_WPSOffice_Level2"/>
      <w:bookmarkStart w:id="41" w:name="_Toc5489_WPSOffice_Level2"/>
      <w:bookmarkStart w:id="42" w:name="_Toc13854_WPSOffice_Level2"/>
      <w:r>
        <w:rPr>
          <w:rFonts w:hint="eastAsia" w:ascii="黑体" w:hAnsi="黑体" w:eastAsia="黑体" w:cs="黑体"/>
          <w:sz w:val="32"/>
          <w:szCs w:val="32"/>
        </w:rPr>
        <w:t>三、支出决算公开表（见正文附件）</w:t>
      </w:r>
      <w:bookmarkEnd w:id="37"/>
      <w:bookmarkEnd w:id="38"/>
      <w:bookmarkEnd w:id="39"/>
      <w:r>
        <w:rPr>
          <w:rFonts w:hint="eastAsia" w:ascii="黑体" w:hAnsi="黑体" w:eastAsia="黑体" w:cs="黑体"/>
          <w:sz w:val="32"/>
          <w:szCs w:val="32"/>
        </w:rPr>
        <w:t>。</w:t>
      </w:r>
      <w:bookmarkEnd w:id="40"/>
      <w:bookmarkEnd w:id="41"/>
      <w:bookmarkEnd w:id="42"/>
    </w:p>
    <w:p>
      <w:pPr>
        <w:ind w:firstLine="645"/>
        <w:rPr>
          <w:rFonts w:ascii="黑体" w:hAnsi="黑体" w:eastAsia="黑体" w:cs="黑体"/>
          <w:sz w:val="32"/>
          <w:szCs w:val="32"/>
        </w:rPr>
      </w:pPr>
      <w:bookmarkStart w:id="43" w:name="_Toc23591_WPSOffice_Level2"/>
      <w:bookmarkStart w:id="44" w:name="_Toc13701_WPSOffice_Level2"/>
      <w:bookmarkStart w:id="45" w:name="_Toc21415_WPSOffice_Level2"/>
      <w:bookmarkStart w:id="46" w:name="_Toc23493_WPSOffice_Level2"/>
      <w:bookmarkStart w:id="47" w:name="_Toc4265_WPSOffice_Level2"/>
      <w:bookmarkStart w:id="48" w:name="_Toc7988_WPSOffice_Level2"/>
      <w:r>
        <w:rPr>
          <w:rFonts w:hint="eastAsia" w:ascii="黑体" w:hAnsi="黑体" w:eastAsia="黑体" w:cs="黑体"/>
          <w:sz w:val="32"/>
          <w:szCs w:val="32"/>
        </w:rPr>
        <w:t>四、财政拨款收入支出决算公开表（见正文附件）</w:t>
      </w:r>
      <w:bookmarkEnd w:id="43"/>
      <w:bookmarkEnd w:id="44"/>
      <w:bookmarkEnd w:id="45"/>
      <w:r>
        <w:rPr>
          <w:rFonts w:hint="eastAsia" w:ascii="黑体" w:hAnsi="黑体" w:eastAsia="黑体" w:cs="黑体"/>
          <w:sz w:val="32"/>
          <w:szCs w:val="32"/>
        </w:rPr>
        <w:t>。</w:t>
      </w:r>
      <w:bookmarkEnd w:id="46"/>
      <w:bookmarkEnd w:id="47"/>
      <w:bookmarkEnd w:id="48"/>
    </w:p>
    <w:p>
      <w:pPr>
        <w:ind w:firstLine="645"/>
        <w:rPr>
          <w:rFonts w:ascii="黑体" w:hAnsi="黑体" w:eastAsia="黑体" w:cs="黑体"/>
          <w:sz w:val="32"/>
          <w:szCs w:val="32"/>
        </w:rPr>
      </w:pPr>
      <w:bookmarkStart w:id="49" w:name="_Toc7879_WPSOffice_Level2"/>
      <w:bookmarkStart w:id="50" w:name="_Toc25166_WPSOffice_Level2"/>
      <w:bookmarkStart w:id="51" w:name="_Toc23829_WPSOffice_Level2"/>
      <w:bookmarkStart w:id="52" w:name="_Toc22783_WPSOffice_Level2"/>
      <w:bookmarkStart w:id="53" w:name="_Toc13516_WPSOffice_Level2"/>
      <w:bookmarkStart w:id="54" w:name="_Toc2158_WPSOffice_Level2"/>
      <w:r>
        <w:rPr>
          <w:rFonts w:hint="eastAsia" w:ascii="黑体" w:hAnsi="黑体" w:eastAsia="黑体" w:cs="黑体"/>
          <w:sz w:val="32"/>
          <w:szCs w:val="32"/>
        </w:rPr>
        <w:t>五、一般公共预算财政拨款收入支出决算</w:t>
      </w:r>
      <w:bookmarkEnd w:id="49"/>
      <w:bookmarkEnd w:id="50"/>
      <w:bookmarkEnd w:id="51"/>
      <w:bookmarkEnd w:id="52"/>
      <w:r>
        <w:rPr>
          <w:rFonts w:hint="eastAsia" w:ascii="黑体" w:hAnsi="黑体" w:eastAsia="黑体" w:cs="黑体"/>
          <w:sz w:val="32"/>
          <w:szCs w:val="32"/>
        </w:rPr>
        <w:t>公开表</w:t>
      </w:r>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3"/>
      <w:bookmarkEnd w:id="54"/>
      <w:r>
        <w:rPr>
          <w:rFonts w:hint="eastAsia" w:ascii="黑体" w:hAnsi="黑体" w:eastAsia="黑体" w:cs="黑体"/>
          <w:sz w:val="32"/>
          <w:szCs w:val="32"/>
        </w:rPr>
        <w:t>。</w:t>
      </w:r>
    </w:p>
    <w:p>
      <w:pPr>
        <w:ind w:firstLine="645"/>
        <w:rPr>
          <w:rFonts w:ascii="黑体" w:hAnsi="黑体" w:eastAsia="黑体" w:cs="黑体"/>
          <w:sz w:val="32"/>
          <w:szCs w:val="32"/>
        </w:rPr>
      </w:pPr>
      <w:bookmarkStart w:id="55" w:name="_Toc17283_WPSOffice_Level2"/>
      <w:bookmarkStart w:id="56" w:name="_Toc2632_WPSOffice_Level2"/>
      <w:bookmarkStart w:id="57" w:name="_Toc25362_WPSOffice_Level2"/>
      <w:bookmarkStart w:id="58" w:name="_Toc5343_WPSOffice_Level2"/>
      <w:bookmarkStart w:id="59" w:name="_Toc17833_WPSOffice_Level2"/>
      <w:bookmarkStart w:id="60" w:name="_Toc8373_WPSOffice_Level2"/>
      <w:r>
        <w:rPr>
          <w:rFonts w:hint="eastAsia" w:ascii="黑体" w:hAnsi="黑体" w:eastAsia="黑体" w:cs="黑体"/>
          <w:sz w:val="32"/>
          <w:szCs w:val="32"/>
        </w:rPr>
        <w:t>六、一般公共预算财政拨款基本支出决算</w:t>
      </w:r>
      <w:bookmarkEnd w:id="55"/>
      <w:bookmarkEnd w:id="56"/>
      <w:bookmarkEnd w:id="57"/>
      <w:bookmarkEnd w:id="58"/>
      <w:bookmarkEnd w:id="59"/>
      <w:bookmarkEnd w:id="60"/>
      <w:r>
        <w:rPr>
          <w:rFonts w:hint="eastAsia" w:ascii="黑体" w:hAnsi="黑体" w:eastAsia="黑体" w:cs="黑体"/>
          <w:sz w:val="32"/>
          <w:szCs w:val="32"/>
        </w:rPr>
        <w:t>公开表</w:t>
      </w:r>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bookmarkStart w:id="61" w:name="_Toc6020_WPSOffice_Level2"/>
      <w:bookmarkStart w:id="62" w:name="_Toc13345_WPSOffice_Level2"/>
      <w:bookmarkStart w:id="63" w:name="_Toc1533_WPSOffice_Level2"/>
      <w:bookmarkStart w:id="64" w:name="_Toc21310_WPSOffice_Level2"/>
      <w:bookmarkStart w:id="65" w:name="_Toc11799_WPSOffice_Level2"/>
      <w:bookmarkStart w:id="66" w:name="_Toc5594_WPSOffice_Level2"/>
      <w:r>
        <w:rPr>
          <w:rFonts w:hint="eastAsia" w:ascii="黑体" w:hAnsi="黑体" w:eastAsia="黑体" w:cs="黑体"/>
          <w:sz w:val="32"/>
          <w:szCs w:val="32"/>
        </w:rPr>
        <w:t>七、政府性基金预算财政拨款收入支出决算</w:t>
      </w:r>
      <w:bookmarkEnd w:id="61"/>
      <w:bookmarkEnd w:id="62"/>
      <w:bookmarkEnd w:id="63"/>
      <w:bookmarkEnd w:id="64"/>
      <w:bookmarkEnd w:id="65"/>
      <w:bookmarkEnd w:id="66"/>
      <w:r>
        <w:rPr>
          <w:rFonts w:hint="eastAsia" w:ascii="黑体" w:hAnsi="黑体" w:eastAsia="黑体" w:cs="黑体"/>
          <w:sz w:val="32"/>
          <w:szCs w:val="32"/>
        </w:rPr>
        <w:t>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67" w:name="_Toc9377_WPSOffice_Level2"/>
      <w:bookmarkStart w:id="68" w:name="_Toc29886_WPSOffice_Level2"/>
      <w:bookmarkStart w:id="69" w:name="_Toc1820_WPSOffice_Level2"/>
      <w:bookmarkStart w:id="70" w:name="_Toc19961_WPSOffice_Level2"/>
      <w:r>
        <w:rPr>
          <w:rFonts w:hint="eastAsia" w:ascii="黑体" w:hAnsi="黑体" w:eastAsia="黑体" w:cs="黑体"/>
          <w:sz w:val="32"/>
          <w:szCs w:val="32"/>
        </w:rPr>
        <w:t xml:space="preserve">    九、一般公共预算财政拨款“三公”经费支出决算</w:t>
      </w:r>
    </w:p>
    <w:p>
      <w:pPr>
        <w:rPr>
          <w:rFonts w:ascii="黑体" w:hAnsi="黑体" w:eastAsia="黑体" w:cs="黑体"/>
          <w:sz w:val="32"/>
          <w:szCs w:val="32"/>
        </w:rPr>
      </w:pPr>
      <w:r>
        <w:rPr>
          <w:rFonts w:hint="eastAsia" w:ascii="黑体" w:hAnsi="黑体" w:eastAsia="黑体" w:cs="黑体"/>
          <w:sz w:val="32"/>
          <w:szCs w:val="32"/>
        </w:rPr>
        <w:t xml:space="preserve">         </w:t>
      </w:r>
      <w:bookmarkEnd w:id="67"/>
      <w:bookmarkEnd w:id="68"/>
      <w:bookmarkEnd w:id="69"/>
      <w:bookmarkEnd w:id="70"/>
      <w:r>
        <w:rPr>
          <w:rFonts w:hint="eastAsia" w:ascii="黑体" w:hAnsi="黑体" w:eastAsia="黑体" w:cs="黑体"/>
          <w:sz w:val="32"/>
          <w:szCs w:val="32"/>
        </w:rPr>
        <w:t>公开表（见正文附件）。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ascii="黑体" w:hAnsi="黑体" w:eastAsia="黑体" w:cs="黑体"/>
          <w:sz w:val="32"/>
          <w:szCs w:val="32"/>
        </w:rPr>
      </w:pPr>
    </w:p>
    <w:p>
      <w:pPr>
        <w:ind w:left="1600" w:hanging="1600" w:hangingChars="500"/>
        <w:jc w:val="left"/>
        <w:rPr>
          <w:rFonts w:ascii="黑体" w:hAnsi="ˎ̥" w:eastAsia="黑体"/>
          <w:sz w:val="32"/>
          <w:szCs w:val="32"/>
        </w:rPr>
      </w:pPr>
      <w:bookmarkStart w:id="71" w:name="_Toc29683_WPSOffice_Level1"/>
      <w:bookmarkStart w:id="72" w:name="_Toc4402_WPSOffice_Level1"/>
      <w:bookmarkStart w:id="73" w:name="_Toc16686_WPSOffice_Level1"/>
      <w:bookmarkStart w:id="74" w:name="_Toc28629_WPSOffice_Level1"/>
      <w:bookmarkStart w:id="75" w:name="_Toc31264_WPSOffice_Level1"/>
      <w:bookmarkStart w:id="76" w:name="_Toc27590_WPSOffice_Level1"/>
      <w:r>
        <w:rPr>
          <w:rFonts w:hint="eastAsia" w:ascii="黑体" w:hAnsi="ˎ̥" w:eastAsia="黑体"/>
          <w:sz w:val="32"/>
          <w:szCs w:val="32"/>
        </w:rPr>
        <w:t>第三部分  海口市万绿园管理处（单位）2020年度单位决算情况说明</w:t>
      </w:r>
      <w:bookmarkEnd w:id="71"/>
      <w:bookmarkEnd w:id="72"/>
      <w:bookmarkEnd w:id="73"/>
      <w:bookmarkEnd w:id="74"/>
      <w:bookmarkEnd w:id="75"/>
      <w:bookmarkEnd w:id="76"/>
    </w:p>
    <w:p>
      <w:pPr>
        <w:ind w:firstLine="640" w:firstLineChars="200"/>
        <w:rPr>
          <w:rFonts w:ascii="仿宋_GB2312" w:hAnsi="ˎ̥" w:eastAsia="仿宋_GB2312"/>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rPr>
        <w:t>2020年度收、支总计2469.05万元，与2019年度相比，收入、支出总计各减少265.18万元，下降9.7%。主要原因：是财政安排经费减少。使用非财政拨款结余0.04万元，较2019年度决算数增加0.04万元，主要原因是增加账户维护等手续费。年初结转结余223.73万元，主要是以前年度结余（滨水区环境综合整治三期项目景观工程等项目结余），较2019年度决算数减少24.02万元，下降9.7%，主要原因是存量资金盘活。结余分配0万元，主要是当年无结余分配（资金分配去向），较2019年度决算数增加（减少）0万元，增长（下降）0%，主要原因是当年无结余分配。年末结转结余198.83万元，主要是以前年度结余（滨水区环境综合整治三期项目景观工程等项目结余），较2019年度决算数减少27.58万元，增长（下降）12.18%，主要原因是存量资金盘活。</w:t>
      </w:r>
    </w:p>
    <w:p>
      <w:pPr>
        <w:rPr>
          <w:rFonts w:ascii="仿宋_GB2312" w:hAnsi="ˎ̥" w:eastAsia="仿宋_GB2312"/>
          <w:sz w:val="32"/>
          <w:szCs w:val="32"/>
        </w:rPr>
      </w:pPr>
      <w:r>
        <w:rPr>
          <w:rFonts w:hint="eastAsia" w:ascii="仿宋_GB2312" w:hAnsi="ˎ̥" w:eastAsia="仿宋_GB2312"/>
          <w:sz w:val="32"/>
          <w:szCs w:val="32"/>
        </w:rPr>
        <w:t xml:space="preserve">   （2020年度相关决算数据，可取自附件财决公开01表；2019年度相关决算数据可取自2019年度部门决算报表财决01表《收入支出决算总表》。）</w:t>
      </w:r>
    </w:p>
    <w:p>
      <w:pPr>
        <w:ind w:firstLine="640" w:firstLineChars="200"/>
        <w:rPr>
          <w:rFonts w:ascii="仿宋_GB2312" w:hAnsi="ˎ̥" w:eastAsia="仿宋_GB2312"/>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本年收入合计2245.28万元，其中：财政拨款收入2245.28万元，占100%；上级补助收入0万元，占0%；事业收入0万元，占0%；经营收入0万元，占0%；附属单位上缴收入0万元，占0%；其他收入0万元，占0%。</w:t>
      </w:r>
    </w:p>
    <w:p>
      <w:pPr>
        <w:ind w:left="412" w:leftChars="196"/>
        <w:rPr>
          <w:rFonts w:ascii="仿宋_GB2312" w:hAnsi="ˎ̥" w:eastAsia="仿宋_GB2312"/>
          <w:sz w:val="32"/>
          <w:szCs w:val="32"/>
        </w:rPr>
      </w:pPr>
      <w:r>
        <w:rPr>
          <w:rFonts w:hint="eastAsia" w:ascii="仿宋_GB2312" w:hAnsi="ˎ̥" w:eastAsia="仿宋_GB2312"/>
          <w:sz w:val="32"/>
          <w:szCs w:val="32"/>
        </w:rPr>
        <w:t xml:space="preserve">  （上述各项收入数字可取自财决公开02表）</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本年支出合计2270.22万元，其中：基本支出641.35万元，占28.25%；项目支出1628.87万元，占71.75%；上缴上级支出0万元，占0%；经营支出0万元，占0%；对附属单位补助支出0万元，占0%。</w:t>
      </w:r>
    </w:p>
    <w:p>
      <w:pPr>
        <w:ind w:firstLine="640" w:firstLineChars="200"/>
        <w:rPr>
          <w:rFonts w:ascii="仿宋_GB2312" w:hAnsi="ˎ̥" w:eastAsia="仿宋_GB2312"/>
          <w:sz w:val="32"/>
          <w:szCs w:val="32"/>
        </w:rPr>
      </w:pPr>
      <w:r>
        <w:rPr>
          <w:rFonts w:hint="eastAsia" w:ascii="仿宋_GB2312" w:hAnsi="ˎ̥" w:eastAsia="仿宋_GB2312"/>
          <w:sz w:val="32"/>
          <w:szCs w:val="32"/>
        </w:rPr>
        <w:t>（上述各项支出数字可取自财决公开03表。）</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2020年度财政拨款收入、支出总计2245.49万元。与2019年度相比，财政拨款收入、支出总计各减少241.01万元，下降9.7%。主要原因：是财政安排经费减少。</w:t>
      </w:r>
    </w:p>
    <w:p>
      <w:pPr>
        <w:ind w:firstLine="640" w:firstLineChars="200"/>
        <w:rPr>
          <w:rFonts w:ascii="仿宋_GB2312" w:hAnsi="ˎ̥" w:eastAsia="仿宋_GB2312"/>
          <w:sz w:val="32"/>
          <w:szCs w:val="32"/>
        </w:rPr>
      </w:pPr>
      <w:r>
        <w:rPr>
          <w:rFonts w:hint="eastAsia" w:ascii="仿宋_GB2312" w:hAnsi="ˎ̥" w:eastAsia="仿宋_GB2312"/>
          <w:sz w:val="32"/>
          <w:szCs w:val="32"/>
        </w:rPr>
        <w:t>财政拨款年初结转结余0.21万元，主要是以前年度结余，较2019年度决算数减少3.95万元，下降94.95%，主要原因是严格执行预算制度，资金合理安排支出。</w:t>
      </w:r>
    </w:p>
    <w:p>
      <w:pPr>
        <w:ind w:firstLine="640" w:firstLineChars="200"/>
        <w:rPr>
          <w:rFonts w:ascii="仿宋_GB2312" w:hAnsi="ˎ̥" w:eastAsia="仿宋_GB2312"/>
          <w:sz w:val="32"/>
          <w:szCs w:val="32"/>
        </w:rPr>
      </w:pPr>
      <w:r>
        <w:rPr>
          <w:rFonts w:hint="eastAsia" w:ascii="仿宋_GB2312" w:hAnsi="ˎ̥" w:eastAsia="仿宋_GB2312"/>
          <w:sz w:val="32"/>
          <w:szCs w:val="32"/>
        </w:rPr>
        <w:t>财政拨款年末结转结余0万元，主要是年末无结转结余，较2019年度年末决算数减少2.88万元，下降100%，主要原因是严格执行预算制度，资金合理安排支出。</w:t>
      </w:r>
    </w:p>
    <w:p>
      <w:pPr>
        <w:ind w:firstLine="640" w:firstLineChars="200"/>
        <w:rPr>
          <w:rFonts w:ascii="仿宋_GB2312" w:hAnsi="ˎ̥" w:eastAsia="仿宋_GB2312"/>
          <w:sz w:val="32"/>
          <w:szCs w:val="32"/>
        </w:rPr>
      </w:pPr>
      <w:r>
        <w:rPr>
          <w:rFonts w:hint="eastAsia" w:ascii="仿宋_GB2312" w:hAnsi="ˎ̥" w:eastAsia="仿宋_GB2312"/>
          <w:sz w:val="32"/>
          <w:szCs w:val="32"/>
        </w:rPr>
        <w:t>（2020年度决算相关数据取自财决公开04表。2019年度决算相关数据可取自2019年度部门决算报表财决01-1表《财政拨款收入支出决算总表》。）</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77" w:name="_Toc17398_WPSOffice_Level2"/>
      <w:bookmarkStart w:id="78" w:name="_Toc13694_WPSOffice_Level2"/>
      <w:bookmarkStart w:id="79" w:name="_Toc21737_WPSOffice_Level2"/>
      <w:bookmarkStart w:id="80" w:name="_Toc19665_WPSOffice_Level2"/>
      <w:bookmarkStart w:id="81" w:name="_Toc23005_WPSOffice_Level2"/>
      <w:bookmarkStart w:id="82" w:name="_Toc9989_WPSOffice_Level2"/>
      <w:r>
        <w:rPr>
          <w:rFonts w:hint="eastAsia" w:ascii="楷体" w:hAnsi="楷体" w:eastAsia="楷体" w:cs="楷体"/>
          <w:sz w:val="32"/>
          <w:szCs w:val="32"/>
        </w:rPr>
        <w:t>（一）一般公共预算财政拨款支出决算总体情况</w:t>
      </w:r>
      <w:bookmarkEnd w:id="77"/>
      <w:bookmarkEnd w:id="78"/>
      <w:r>
        <w:rPr>
          <w:rFonts w:hint="eastAsia" w:ascii="楷体" w:hAnsi="楷体" w:eastAsia="楷体" w:cs="楷体"/>
          <w:sz w:val="32"/>
          <w:szCs w:val="32"/>
        </w:rPr>
        <w:t>。</w:t>
      </w:r>
      <w:bookmarkEnd w:id="79"/>
      <w:bookmarkEnd w:id="80"/>
      <w:bookmarkEnd w:id="81"/>
      <w:bookmarkEnd w:id="82"/>
    </w:p>
    <w:p>
      <w:pPr>
        <w:ind w:firstLine="640" w:firstLineChars="200"/>
        <w:rPr>
          <w:rFonts w:ascii="仿宋_GB2312" w:hAnsi="ˎ̥" w:eastAsia="仿宋_GB2312"/>
          <w:sz w:val="32"/>
          <w:szCs w:val="32"/>
        </w:rPr>
      </w:pPr>
      <w:r>
        <w:rPr>
          <w:rFonts w:hint="eastAsia" w:ascii="仿宋_GB2312" w:hAnsi="ˎ̥" w:eastAsia="仿宋_GB2312"/>
          <w:sz w:val="32"/>
          <w:szCs w:val="32"/>
        </w:rPr>
        <w:t>2020年度一般公共预算财政拨款支出1151.99万元，占本年支出合计的50.74%。与2019年度相比，一般公共预算财政拨款支出减少275.15万元，下降19.28%，主要原因是项目支出经费减少。</w:t>
      </w:r>
    </w:p>
    <w:p>
      <w:pPr>
        <w:ind w:firstLine="640" w:firstLineChars="200"/>
        <w:rPr>
          <w:rFonts w:ascii="楷体" w:hAnsi="楷体" w:eastAsia="楷体" w:cs="楷体"/>
          <w:sz w:val="32"/>
          <w:szCs w:val="32"/>
        </w:rPr>
      </w:pPr>
      <w:bookmarkStart w:id="83" w:name="_Toc18793_WPSOffice_Level2"/>
      <w:bookmarkStart w:id="84" w:name="_Toc2711_WPSOffice_Level2"/>
      <w:bookmarkStart w:id="85" w:name="_Toc27767_WPSOffice_Level2"/>
      <w:bookmarkStart w:id="86" w:name="_Toc19535_WPSOffice_Level2"/>
      <w:bookmarkStart w:id="87" w:name="_Toc23864_WPSOffice_Level2"/>
      <w:bookmarkStart w:id="88" w:name="_Toc19075_WPSOffice_Level2"/>
      <w:r>
        <w:rPr>
          <w:rFonts w:hint="eastAsia" w:ascii="楷体" w:hAnsi="楷体" w:eastAsia="楷体" w:cs="楷体"/>
          <w:sz w:val="32"/>
          <w:szCs w:val="32"/>
        </w:rPr>
        <w:t>（二）一般公共预算财政拨款支出决算结构情况</w:t>
      </w:r>
      <w:bookmarkEnd w:id="83"/>
      <w:bookmarkEnd w:id="84"/>
      <w:r>
        <w:rPr>
          <w:rFonts w:hint="eastAsia" w:ascii="楷体" w:hAnsi="楷体" w:eastAsia="楷体" w:cs="楷体"/>
          <w:sz w:val="32"/>
          <w:szCs w:val="32"/>
        </w:rPr>
        <w:t>。</w:t>
      </w:r>
      <w:bookmarkEnd w:id="85"/>
      <w:bookmarkEnd w:id="86"/>
      <w:bookmarkEnd w:id="87"/>
      <w:bookmarkEnd w:id="88"/>
    </w:p>
    <w:p>
      <w:pPr>
        <w:ind w:firstLine="640" w:firstLineChars="200"/>
        <w:rPr>
          <w:rFonts w:ascii="仿宋_GB2312" w:hAnsi="ˎ̥" w:eastAsia="仿宋_GB2312"/>
          <w:sz w:val="32"/>
          <w:szCs w:val="32"/>
        </w:rPr>
      </w:pPr>
      <w:r>
        <w:rPr>
          <w:rFonts w:hint="eastAsia" w:ascii="仿宋_GB2312" w:hAnsi="ˎ̥" w:eastAsia="仿宋_GB2312"/>
          <w:sz w:val="32"/>
          <w:szCs w:val="32"/>
        </w:rPr>
        <w:t>2020年度一般公共预算财政拨款支出1151.99万元，主要用于以下方面：</w:t>
      </w:r>
      <w:r>
        <w:rPr>
          <w:rFonts w:hint="eastAsia" w:ascii="仿宋_GB2312" w:hAnsi="ˎ̥" w:eastAsia="仿宋_GB2312"/>
          <w:b/>
          <w:sz w:val="32"/>
          <w:szCs w:val="32"/>
        </w:rPr>
        <w:t>社会保障和就业（类）</w:t>
      </w:r>
      <w:r>
        <w:rPr>
          <w:rFonts w:hint="eastAsia" w:ascii="仿宋_GB2312" w:hAnsi="ˎ̥" w:eastAsia="仿宋_GB2312"/>
          <w:sz w:val="32"/>
          <w:szCs w:val="32"/>
        </w:rPr>
        <w:t>支出56.98万元，占4.94%；</w:t>
      </w:r>
      <w:r>
        <w:rPr>
          <w:rFonts w:hint="eastAsia" w:ascii="仿宋_GB2312" w:hAnsi="ˎ̥" w:eastAsia="仿宋_GB2312"/>
          <w:b/>
          <w:sz w:val="32"/>
          <w:szCs w:val="32"/>
        </w:rPr>
        <w:t>卫生健康（类）</w:t>
      </w:r>
      <w:r>
        <w:rPr>
          <w:rFonts w:hint="eastAsia" w:ascii="仿宋_GB2312" w:hAnsi="ˎ̥" w:eastAsia="仿宋_GB2312"/>
          <w:sz w:val="32"/>
          <w:szCs w:val="32"/>
        </w:rPr>
        <w:t>支出59.42万元，占5.16%，</w:t>
      </w:r>
      <w:r>
        <w:rPr>
          <w:rFonts w:hint="eastAsia" w:ascii="仿宋" w:hAnsi="仿宋" w:eastAsia="仿宋" w:cs="仿宋"/>
          <w:b/>
          <w:sz w:val="32"/>
          <w:szCs w:val="32"/>
        </w:rPr>
        <w:t>城乡社区支出</w:t>
      </w:r>
      <w:r>
        <w:rPr>
          <w:rFonts w:hint="eastAsia" w:ascii="仿宋_GB2312" w:hAnsi="ˎ̥" w:eastAsia="仿宋_GB2312"/>
          <w:b/>
          <w:sz w:val="32"/>
          <w:szCs w:val="32"/>
        </w:rPr>
        <w:t>（类）</w:t>
      </w:r>
      <w:r>
        <w:rPr>
          <w:rFonts w:hint="eastAsia" w:ascii="仿宋" w:hAnsi="仿宋" w:eastAsia="仿宋" w:cs="仿宋"/>
          <w:sz w:val="32"/>
          <w:szCs w:val="32"/>
        </w:rPr>
        <w:t>支出1001.29万元，占86.92%；</w:t>
      </w:r>
      <w:r>
        <w:rPr>
          <w:rFonts w:hint="eastAsia" w:ascii="仿宋_GB2312" w:hAnsi="ˎ̥" w:eastAsia="仿宋_GB2312"/>
          <w:b/>
          <w:bCs/>
          <w:sz w:val="32"/>
          <w:szCs w:val="32"/>
        </w:rPr>
        <w:t>住房保障（类）</w:t>
      </w:r>
      <w:r>
        <w:rPr>
          <w:rFonts w:hint="eastAsia" w:ascii="仿宋_GB2312" w:hAnsi="ˎ̥" w:eastAsia="仿宋_GB2312"/>
          <w:sz w:val="32"/>
          <w:szCs w:val="32"/>
        </w:rPr>
        <w:t>支出34.29万元，占2.98%。</w:t>
      </w:r>
    </w:p>
    <w:p>
      <w:pPr>
        <w:ind w:firstLine="640" w:firstLineChars="200"/>
        <w:rPr>
          <w:rFonts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ascii="楷体" w:hAnsi="楷体" w:eastAsia="楷体" w:cs="楷体"/>
          <w:sz w:val="32"/>
          <w:szCs w:val="32"/>
        </w:rPr>
      </w:pPr>
      <w:bookmarkStart w:id="89" w:name="_Toc22318_WPSOffice_Level2"/>
      <w:bookmarkStart w:id="90" w:name="_Toc9502_WPSOffice_Level2"/>
      <w:bookmarkStart w:id="91" w:name="_Toc21701_WPSOffice_Level2"/>
      <w:bookmarkStart w:id="92" w:name="_Toc25136_WPSOffice_Level2"/>
      <w:bookmarkStart w:id="93" w:name="_Toc15415_WPSOffice_Level2"/>
      <w:bookmarkStart w:id="94" w:name="_Toc29364_WPSOffice_Level2"/>
      <w:r>
        <w:rPr>
          <w:rFonts w:hint="eastAsia" w:ascii="楷体" w:hAnsi="楷体" w:eastAsia="楷体" w:cs="楷体"/>
          <w:sz w:val="32"/>
          <w:szCs w:val="32"/>
        </w:rPr>
        <w:t>（三）一般公共预算财政拨款支出决算具体情况。</w:t>
      </w:r>
      <w:bookmarkEnd w:id="89"/>
      <w:bookmarkEnd w:id="90"/>
      <w:bookmarkEnd w:id="91"/>
      <w:bookmarkEnd w:id="92"/>
      <w:bookmarkEnd w:id="93"/>
      <w:bookmarkEnd w:id="94"/>
    </w:p>
    <w:p>
      <w:pPr>
        <w:ind w:firstLine="640" w:firstLineChars="200"/>
        <w:rPr>
          <w:rFonts w:ascii="仿宋_GB2312" w:hAnsi="ˎ̥" w:eastAsia="仿宋_GB2312"/>
          <w:sz w:val="32"/>
          <w:szCs w:val="32"/>
        </w:rPr>
      </w:pPr>
      <w:r>
        <w:rPr>
          <w:rFonts w:hint="eastAsia" w:ascii="仿宋_GB2312" w:hAnsi="ˎ̥" w:eastAsia="仿宋_GB2312"/>
          <w:sz w:val="32"/>
          <w:szCs w:val="32"/>
        </w:rPr>
        <w:t>2020年度一般公共预算财政拨款支出年初预算为1067.01万元，支出决算为1151.99万元，完成年初预算的100%。其中：</w:t>
      </w:r>
    </w:p>
    <w:p>
      <w:pPr>
        <w:ind w:firstLine="640" w:firstLineChars="200"/>
        <w:rPr>
          <w:rFonts w:ascii="仿宋_GB2312" w:hAnsi="ˎ̥" w:eastAsia="仿宋_GB2312"/>
          <w:b/>
          <w:sz w:val="32"/>
          <w:szCs w:val="32"/>
        </w:rPr>
      </w:pPr>
      <w:r>
        <w:rPr>
          <w:rFonts w:hint="eastAsia" w:ascii="仿宋_GB2312" w:hAnsi="ˎ̥" w:eastAsia="仿宋_GB2312"/>
          <w:sz w:val="32"/>
          <w:szCs w:val="32"/>
        </w:rPr>
        <w:t>1.</w:t>
      </w:r>
      <w:r>
        <w:rPr>
          <w:rFonts w:hint="eastAsia" w:ascii="仿宋_GB2312" w:hAnsi="ˎ̥" w:eastAsia="仿宋_GB2312"/>
          <w:b/>
          <w:sz w:val="32"/>
          <w:szCs w:val="32"/>
        </w:rPr>
        <w:t xml:space="preserve"> 社会保障和就业（类）行政事业单位养老支出（款）机关事业单位基本养老保险缴费支出（项）。</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年初预算为55.39万元，支出决算为43.84万元，完成年初预算的79.15%,主要原因是有退休人员。</w:t>
      </w:r>
    </w:p>
    <w:p>
      <w:pPr>
        <w:ind w:firstLine="640" w:firstLineChars="200"/>
        <w:rPr>
          <w:rFonts w:ascii="仿宋_GB2312" w:hAnsi="ˎ̥" w:eastAsia="仿宋_GB2312"/>
          <w:sz w:val="32"/>
          <w:szCs w:val="32"/>
        </w:rPr>
      </w:pPr>
    </w:p>
    <w:p>
      <w:pPr>
        <w:ind w:firstLine="640" w:firstLineChars="200"/>
        <w:rPr>
          <w:rFonts w:ascii="仿宋_GB2312" w:hAnsi="ˎ̥" w:eastAsia="仿宋_GB2312"/>
          <w:sz w:val="32"/>
          <w:szCs w:val="32"/>
        </w:rPr>
      </w:pPr>
      <w:r>
        <w:rPr>
          <w:rFonts w:hint="eastAsia" w:ascii="仿宋_GB2312" w:hAnsi="ˎ̥" w:eastAsia="仿宋_GB2312"/>
          <w:sz w:val="32"/>
          <w:szCs w:val="32"/>
        </w:rPr>
        <w:t>2.</w:t>
      </w:r>
      <w:r>
        <w:rPr>
          <w:rFonts w:hint="eastAsia" w:ascii="仿宋_GB2312" w:hAnsi="ˎ̥" w:eastAsia="仿宋_GB2312"/>
          <w:b/>
          <w:sz w:val="32"/>
          <w:szCs w:val="32"/>
        </w:rPr>
        <w:t xml:space="preserve"> 社会保障和就业（类）行政事业单位养老支出（款）</w:t>
      </w:r>
      <w:r>
        <w:rPr>
          <w:rFonts w:hint="eastAsia" w:ascii="仿宋_GB2312" w:hAnsi="ˎ̥" w:eastAsia="仿宋_GB2312"/>
          <w:sz w:val="32"/>
          <w:szCs w:val="32"/>
        </w:rPr>
        <w:t>机关事业单位职业年金缴费支出（项）。</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年初预算为0万元，支出决算5.06万元, 决算数大于预算数主要原因是有退休人员记实。</w:t>
      </w:r>
    </w:p>
    <w:p>
      <w:pPr>
        <w:ind w:firstLine="640" w:firstLineChars="200"/>
        <w:rPr>
          <w:rFonts w:ascii="仿宋_GB2312" w:hAnsi="ˎ̥" w:eastAsia="仿宋_GB2312"/>
          <w:sz w:val="32"/>
          <w:szCs w:val="32"/>
        </w:rPr>
      </w:pPr>
      <w:r>
        <w:rPr>
          <w:rFonts w:hint="eastAsia" w:ascii="仿宋_GB2312" w:hAnsi="ˎ̥" w:eastAsia="仿宋_GB2312"/>
          <w:sz w:val="32"/>
          <w:szCs w:val="32"/>
        </w:rPr>
        <w:t>3.</w:t>
      </w:r>
      <w:r>
        <w:rPr>
          <w:rFonts w:hint="eastAsia" w:ascii="仿宋_GB2312" w:hAnsi="ˎ̥" w:eastAsia="仿宋_GB2312"/>
          <w:b/>
          <w:sz w:val="32"/>
          <w:szCs w:val="32"/>
        </w:rPr>
        <w:t xml:space="preserve"> 社会保障和就业（类）行政事业单位养老支出（款）</w:t>
      </w:r>
      <w:r>
        <w:rPr>
          <w:rFonts w:hint="eastAsia" w:ascii="仿宋_GB2312" w:hAnsi="ˎ̥" w:eastAsia="仿宋_GB2312"/>
          <w:sz w:val="32"/>
          <w:szCs w:val="32"/>
        </w:rPr>
        <w:t>其他行政事业单位养老支出（项）。</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年初预算为7.43万元，支出决算8.07万元, 完成预算数的100%。决算数大于预算数主要原因退休人员工资调整增加。</w:t>
      </w:r>
    </w:p>
    <w:p>
      <w:pPr>
        <w:ind w:firstLine="640" w:firstLineChars="200"/>
        <w:rPr>
          <w:rFonts w:ascii="仿宋_GB2312" w:hAnsi="ˎ̥" w:eastAsia="仿宋_GB2312"/>
          <w:sz w:val="32"/>
          <w:szCs w:val="32"/>
        </w:rPr>
      </w:pPr>
      <w:r>
        <w:rPr>
          <w:rFonts w:hint="eastAsia" w:ascii="仿宋_GB2312" w:hAnsi="ˎ̥" w:eastAsia="仿宋_GB2312"/>
          <w:sz w:val="32"/>
          <w:szCs w:val="32"/>
        </w:rPr>
        <w:t>4.</w:t>
      </w:r>
      <w:r>
        <w:rPr>
          <w:rFonts w:hint="eastAsia"/>
        </w:rPr>
        <w:t xml:space="preserve"> </w:t>
      </w:r>
      <w:r>
        <w:rPr>
          <w:rFonts w:hint="eastAsia" w:ascii="仿宋_GB2312" w:hAnsi="ˎ̥" w:eastAsia="仿宋_GB2312"/>
          <w:sz w:val="32"/>
          <w:szCs w:val="32"/>
        </w:rPr>
        <w:t>卫生健康支出（类）行政事业单位医疗（款）事业单位医疗（项）。</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年初预算为29.42万元，支出决算23.29万元, 完成预算数的79.16%。决算数小于预算数主要是有退休人员</w:t>
      </w:r>
    </w:p>
    <w:p>
      <w:pPr>
        <w:ind w:firstLine="640" w:firstLineChars="200"/>
        <w:rPr>
          <w:rFonts w:ascii="仿宋_GB2312" w:hAnsi="ˎ̥" w:eastAsia="仿宋_GB2312"/>
          <w:sz w:val="32"/>
          <w:szCs w:val="32"/>
        </w:rPr>
      </w:pPr>
      <w:r>
        <w:rPr>
          <w:rFonts w:hint="eastAsia" w:ascii="仿宋_GB2312" w:hAnsi="ˎ̥" w:eastAsia="仿宋_GB2312"/>
          <w:sz w:val="32"/>
          <w:szCs w:val="32"/>
        </w:rPr>
        <w:t>5.</w:t>
      </w:r>
      <w:r>
        <w:rPr>
          <w:rFonts w:hint="eastAsia"/>
        </w:rPr>
        <w:t xml:space="preserve"> </w:t>
      </w:r>
      <w:r>
        <w:rPr>
          <w:rFonts w:hint="eastAsia" w:ascii="仿宋_GB2312" w:hAnsi="ˎ̥" w:eastAsia="仿宋_GB2312"/>
          <w:sz w:val="32"/>
          <w:szCs w:val="32"/>
        </w:rPr>
        <w:t>卫生健康支出（类）行政事业单位医疗（款）其他行政事业单位医疗支出（项）。</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年初预算为32.83万元，支出决算36.13万元, 完成预算数的100%。决算数大于预算数主要原因是在编人员工资调整增加。</w:t>
      </w:r>
    </w:p>
    <w:p>
      <w:pPr>
        <w:ind w:firstLine="640" w:firstLineChars="200"/>
        <w:rPr>
          <w:rFonts w:ascii="仿宋_GB2312" w:hAnsi="ˎ̥" w:eastAsia="仿宋_GB2312"/>
          <w:sz w:val="32"/>
          <w:szCs w:val="32"/>
        </w:rPr>
      </w:pPr>
      <w:r>
        <w:rPr>
          <w:rFonts w:hint="eastAsia" w:ascii="仿宋_GB2312" w:hAnsi="ˎ̥" w:eastAsia="仿宋_GB2312"/>
          <w:sz w:val="32"/>
          <w:szCs w:val="32"/>
        </w:rPr>
        <w:t>6.</w:t>
      </w:r>
      <w:r>
        <w:rPr>
          <w:rFonts w:hint="eastAsia"/>
        </w:rPr>
        <w:t xml:space="preserve"> </w:t>
      </w:r>
      <w:r>
        <w:rPr>
          <w:rFonts w:hint="eastAsia" w:ascii="仿宋_GB2312" w:hAnsi="ˎ̥" w:eastAsia="仿宋_GB2312"/>
          <w:sz w:val="32"/>
          <w:szCs w:val="32"/>
        </w:rPr>
        <w:t>城乡社区支出（类）城乡社区环境卫生（款）城乡社区环境卫生（项）。</w:t>
      </w:r>
    </w:p>
    <w:p>
      <w:pPr>
        <w:ind w:firstLine="640" w:firstLineChars="200"/>
        <w:rPr>
          <w:rFonts w:ascii="仿宋_GB2312" w:hAnsi="ˎ̥" w:eastAsia="仿宋_GB2312"/>
          <w:b/>
          <w:sz w:val="32"/>
          <w:szCs w:val="32"/>
        </w:rPr>
      </w:pPr>
      <w:r>
        <w:rPr>
          <w:rFonts w:hint="eastAsia" w:ascii="仿宋_GB2312" w:hAnsi="ˎ̥" w:eastAsia="仿宋_GB2312"/>
          <w:sz w:val="32"/>
          <w:szCs w:val="32"/>
        </w:rPr>
        <w:t>年初预算为905.92万元，支出决算1001.29万元, 完成预算数的100%。决算数大于预算数主要原因是有追加经费。</w:t>
      </w:r>
    </w:p>
    <w:p>
      <w:pPr>
        <w:ind w:firstLine="640" w:firstLineChars="200"/>
        <w:rPr>
          <w:rFonts w:ascii="仿宋_GB2312" w:hAnsi="ˎ̥" w:eastAsia="仿宋_GB2312"/>
          <w:sz w:val="32"/>
          <w:szCs w:val="32"/>
        </w:rPr>
      </w:pPr>
      <w:r>
        <w:rPr>
          <w:rFonts w:hint="eastAsia" w:ascii="仿宋_GB2312" w:hAnsi="ˎ̥" w:eastAsia="仿宋_GB2312"/>
          <w:sz w:val="32"/>
          <w:szCs w:val="32"/>
        </w:rPr>
        <w:t>7.</w:t>
      </w:r>
      <w:r>
        <w:rPr>
          <w:rFonts w:hint="eastAsia"/>
        </w:rPr>
        <w:t xml:space="preserve"> </w:t>
      </w:r>
      <w:r>
        <w:rPr>
          <w:rFonts w:hint="eastAsia" w:ascii="仿宋_GB2312" w:hAnsi="ˎ̥" w:eastAsia="仿宋_GB2312"/>
          <w:sz w:val="32"/>
          <w:szCs w:val="32"/>
        </w:rPr>
        <w:t>住房保障支出（类）住房改革支出（款）  住房公积金（项）。</w:t>
      </w:r>
    </w:p>
    <w:p>
      <w:pPr>
        <w:ind w:firstLine="640" w:firstLineChars="200"/>
        <w:rPr>
          <w:rFonts w:ascii="仿宋_GB2312" w:hAnsi="ˎ̥" w:eastAsia="仿宋_GB2312"/>
          <w:b/>
          <w:sz w:val="32"/>
          <w:szCs w:val="32"/>
        </w:rPr>
      </w:pPr>
      <w:r>
        <w:rPr>
          <w:rFonts w:hint="eastAsia" w:ascii="仿宋_GB2312" w:hAnsi="ˎ̥" w:eastAsia="仿宋_GB2312"/>
          <w:sz w:val="32"/>
          <w:szCs w:val="32"/>
        </w:rPr>
        <w:t>年初预算为36.02万元，支出决算34.29万元, 完成预算数的95.2%。决算数小于预算数主要是有退休人员。</w:t>
      </w:r>
    </w:p>
    <w:p>
      <w:pPr>
        <w:ind w:firstLine="480" w:firstLineChars="150"/>
        <w:rPr>
          <w:rFonts w:ascii="仿宋_GB2312" w:hAnsi="ˎ̥" w:eastAsia="仿宋_GB2312"/>
          <w:sz w:val="32"/>
          <w:szCs w:val="32"/>
        </w:rPr>
      </w:pPr>
      <w:r>
        <w:rPr>
          <w:rFonts w:hint="eastAsia" w:ascii="仿宋_GB2312" w:hAnsi="ˎ̥" w:eastAsia="仿宋_GB2312"/>
          <w:sz w:val="32"/>
          <w:szCs w:val="32"/>
        </w:rPr>
        <w:t>（本部分支出决算数字可取自财决公开05表，年初预算数可取自各部门（单位）年初预算大本，根据各部门（单位）实际支出涉及的支出功能分类项级科目填列）。</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2020年度财政拨款基本支出641.31万元，其中：人员经费579.52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61.79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（上述数字可取自财决公开06表，各部门（单位）根据实际支出情况，选列相应支出经济分类。）</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ascii="仿宋_GB2312" w:hAnsi="ˎ̥" w:eastAsia="仿宋_GB2312"/>
          <w:sz w:val="32"/>
          <w:szCs w:val="32"/>
        </w:rPr>
      </w:pPr>
      <w:r>
        <w:rPr>
          <w:rFonts w:hint="eastAsia" w:ascii="仿宋_GB2312" w:hAnsi="ˎ̥" w:eastAsia="仿宋_GB2312"/>
          <w:sz w:val="32"/>
          <w:szCs w:val="32"/>
        </w:rPr>
        <w:t>2020年度政府性基金预算财政拨款支出1093.5万元，占本年支出合计的48.16%。与2019年度相比，政府性基金预算财政拨款支出增加（减少）34.16万元，减少3.22%，主要原因是项目支出数增加。</w:t>
      </w:r>
    </w:p>
    <w:p>
      <w:pPr>
        <w:ind w:firstLine="640" w:firstLineChars="200"/>
        <w:rPr>
          <w:rFonts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right="-210" w:rightChars="-100"/>
        <w:jc w:val="left"/>
        <w:rPr>
          <w:rFonts w:ascii="仿宋_GB2312" w:hAnsi="ˎ̥" w:eastAsia="仿宋_GB2312"/>
          <w:sz w:val="32"/>
          <w:szCs w:val="32"/>
        </w:rPr>
      </w:pPr>
      <w:r>
        <w:rPr>
          <w:rFonts w:hint="eastAsia" w:ascii="仿宋_GB2312" w:hAnsi="ˎ̥" w:eastAsia="仿宋_GB2312"/>
          <w:sz w:val="32"/>
          <w:szCs w:val="32"/>
        </w:rPr>
        <w:t>2020年度政府性基金预算财政拨款支出1093.5万元，主要用于以下方面：城乡社区支出</w:t>
      </w:r>
      <w:r>
        <w:rPr>
          <w:rFonts w:hint="eastAsia" w:ascii="仿宋_GB2312" w:hAnsi="ˎ̥" w:eastAsia="仿宋_GB2312"/>
          <w:b/>
          <w:sz w:val="32"/>
          <w:szCs w:val="32"/>
        </w:rPr>
        <w:t>（类）</w:t>
      </w:r>
      <w:r>
        <w:rPr>
          <w:rFonts w:hint="eastAsia" w:ascii="仿宋_GB2312" w:hAnsi="ˎ̥" w:eastAsia="仿宋_GB2312"/>
          <w:sz w:val="32"/>
          <w:szCs w:val="32"/>
        </w:rPr>
        <w:t>支出1093.5万元，占100%。</w:t>
      </w:r>
    </w:p>
    <w:p>
      <w:pPr>
        <w:ind w:firstLine="640" w:firstLineChars="200"/>
        <w:rPr>
          <w:rFonts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ascii="仿宋_GB2312" w:hAnsi="ˎ̥" w:eastAsia="仿宋_GB2312"/>
          <w:sz w:val="32"/>
          <w:szCs w:val="32"/>
        </w:rPr>
      </w:pPr>
      <w:r>
        <w:rPr>
          <w:rFonts w:hint="eastAsia" w:ascii="仿宋_GB2312" w:hAnsi="ˎ̥" w:eastAsia="仿宋_GB2312"/>
          <w:sz w:val="32"/>
          <w:szCs w:val="32"/>
        </w:rPr>
        <w:t>2020年度政府性基金预算财政拨款支出年初预算为722.33万元，支出决算为1093.3万元，完成年初预算的100%。其中：</w:t>
      </w:r>
    </w:p>
    <w:p>
      <w:pPr>
        <w:ind w:firstLine="640" w:firstLineChars="200"/>
        <w:jc w:val="left"/>
        <w:rPr>
          <w:rFonts w:ascii="仿宋_GB2312" w:hAnsi="ˎ̥" w:eastAsia="仿宋_GB2312"/>
          <w:sz w:val="32"/>
          <w:szCs w:val="32"/>
        </w:rPr>
      </w:pPr>
      <w:r>
        <w:rPr>
          <w:rFonts w:hint="eastAsia" w:ascii="仿宋_GB2312" w:hAnsi="ˎ̥" w:eastAsia="仿宋_GB2312"/>
          <w:sz w:val="32"/>
          <w:szCs w:val="32"/>
        </w:rPr>
        <w:t>1.城乡社区支出</w:t>
      </w:r>
      <w:r>
        <w:rPr>
          <w:rFonts w:hint="eastAsia" w:ascii="仿宋_GB2312" w:hAnsi="ˎ̥" w:eastAsia="仿宋_GB2312"/>
          <w:b/>
          <w:sz w:val="32"/>
          <w:szCs w:val="32"/>
        </w:rPr>
        <w:t>（类</w:t>
      </w:r>
      <w:r>
        <w:rPr>
          <w:rFonts w:hint="eastAsia" w:ascii="仿宋_GB2312" w:hAnsi="ˎ̥" w:eastAsia="仿宋_GB2312"/>
          <w:sz w:val="32"/>
          <w:szCs w:val="32"/>
        </w:rPr>
        <w:t>）国有土地使用权出让收入安排的支出</w:t>
      </w:r>
      <w:r>
        <w:rPr>
          <w:rFonts w:hint="eastAsia" w:ascii="仿宋_GB2312" w:hAnsi="ˎ̥" w:eastAsia="仿宋_GB2312"/>
          <w:b/>
          <w:sz w:val="32"/>
          <w:szCs w:val="32"/>
        </w:rPr>
        <w:t>（款）</w:t>
      </w:r>
      <w:r>
        <w:rPr>
          <w:rFonts w:hint="eastAsia" w:ascii="仿宋_GB2312" w:hAnsi="ˎ̥" w:eastAsia="仿宋_GB2312"/>
          <w:sz w:val="32"/>
          <w:szCs w:val="32"/>
        </w:rPr>
        <w:t>城市建设支出</w:t>
      </w:r>
      <w:r>
        <w:rPr>
          <w:rFonts w:hint="eastAsia" w:ascii="仿宋_GB2312" w:hAnsi="ˎ̥" w:eastAsia="仿宋_GB2312"/>
          <w:b/>
          <w:sz w:val="32"/>
          <w:szCs w:val="32"/>
        </w:rPr>
        <w:t>（项）</w:t>
      </w:r>
      <w:r>
        <w:rPr>
          <w:rFonts w:hint="eastAsia" w:ascii="仿宋_GB2312" w:hAnsi="ˎ̥" w:eastAsia="仿宋_GB2312"/>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年初预算为0万元，支出决算为290.54万元。决算数大于预算数主要原因是有增加项目支出。</w:t>
      </w:r>
    </w:p>
    <w:p>
      <w:pPr>
        <w:ind w:firstLine="640" w:firstLineChars="200"/>
        <w:rPr>
          <w:rFonts w:ascii="仿宋_GB2312" w:hAnsi="ˎ̥" w:eastAsia="仿宋_GB2312"/>
          <w:sz w:val="32"/>
          <w:szCs w:val="32"/>
        </w:rPr>
      </w:pPr>
      <w:r>
        <w:rPr>
          <w:rFonts w:hint="eastAsia" w:ascii="仿宋_GB2312" w:hAnsi="ˎ̥" w:eastAsia="仿宋_GB2312"/>
          <w:sz w:val="32"/>
          <w:szCs w:val="32"/>
        </w:rPr>
        <w:t>。</w:t>
      </w:r>
    </w:p>
    <w:p>
      <w:pPr>
        <w:ind w:firstLine="640" w:firstLineChars="200"/>
        <w:jc w:val="left"/>
        <w:rPr>
          <w:rFonts w:ascii="仿宋_GB2312" w:hAnsi="ˎ̥" w:eastAsia="仿宋_GB2312"/>
          <w:sz w:val="32"/>
          <w:szCs w:val="32"/>
        </w:rPr>
      </w:pPr>
      <w:r>
        <w:rPr>
          <w:rFonts w:hint="eastAsia" w:ascii="仿宋_GB2312" w:hAnsi="ˎ̥" w:eastAsia="仿宋_GB2312"/>
          <w:sz w:val="32"/>
          <w:szCs w:val="32"/>
        </w:rPr>
        <w:t>2.</w:t>
      </w:r>
      <w:r>
        <w:rPr>
          <w:rFonts w:ascii="仿宋_GB2312" w:hAnsi="ˎ̥" w:eastAsia="仿宋_GB2312"/>
          <w:sz w:val="32"/>
          <w:szCs w:val="32"/>
        </w:rPr>
        <w:t xml:space="preserve"> </w:t>
      </w:r>
      <w:r>
        <w:rPr>
          <w:rFonts w:hint="eastAsia" w:ascii="仿宋_GB2312" w:hAnsi="ˎ̥" w:eastAsia="仿宋_GB2312"/>
          <w:sz w:val="32"/>
          <w:szCs w:val="32"/>
        </w:rPr>
        <w:t>城乡社区支出</w:t>
      </w:r>
      <w:r>
        <w:rPr>
          <w:rFonts w:hint="eastAsia" w:ascii="仿宋_GB2312" w:hAnsi="ˎ̥" w:eastAsia="仿宋_GB2312"/>
          <w:b/>
          <w:sz w:val="32"/>
          <w:szCs w:val="32"/>
        </w:rPr>
        <w:t>（类</w:t>
      </w:r>
      <w:r>
        <w:rPr>
          <w:rFonts w:hint="eastAsia" w:ascii="仿宋_GB2312" w:hAnsi="ˎ̥" w:eastAsia="仿宋_GB2312"/>
          <w:sz w:val="32"/>
          <w:szCs w:val="32"/>
        </w:rPr>
        <w:t>）城市基础设施配套费安排的支出</w:t>
      </w:r>
      <w:r>
        <w:rPr>
          <w:rFonts w:hint="eastAsia" w:ascii="仿宋_GB2312" w:hAnsi="ˎ̥" w:eastAsia="仿宋_GB2312"/>
          <w:b/>
          <w:sz w:val="32"/>
          <w:szCs w:val="32"/>
        </w:rPr>
        <w:t>（款）</w:t>
      </w:r>
      <w:r>
        <w:rPr>
          <w:rFonts w:hint="eastAsia" w:ascii="仿宋_GB2312" w:hAnsi="ˎ̥" w:eastAsia="仿宋_GB2312"/>
          <w:sz w:val="32"/>
          <w:szCs w:val="32"/>
        </w:rPr>
        <w:t xml:space="preserve"> 城市环境卫生</w:t>
      </w:r>
      <w:r>
        <w:rPr>
          <w:rFonts w:hint="eastAsia" w:ascii="仿宋_GB2312" w:hAnsi="ˎ̥" w:eastAsia="仿宋_GB2312"/>
          <w:b/>
          <w:sz w:val="32"/>
          <w:szCs w:val="32"/>
        </w:rPr>
        <w:t>（项）</w:t>
      </w:r>
      <w:r>
        <w:rPr>
          <w:rFonts w:hint="eastAsia" w:ascii="仿宋_GB2312" w:hAnsi="ˎ̥" w:eastAsia="仿宋_GB2312"/>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年初预算为722.33万元，支出决算为802.76万元，完成年初预算的100%。决算数大于预算数主要原因是有增加项目支出。</w:t>
      </w:r>
    </w:p>
    <w:p>
      <w:pPr>
        <w:tabs>
          <w:tab w:val="center" w:pos="4473"/>
        </w:tabs>
        <w:ind w:firstLine="480" w:firstLineChars="150"/>
        <w:rPr>
          <w:rFonts w:ascii="仿宋_GB2312" w:hAnsi="ˎ̥" w:eastAsia="仿宋_GB2312"/>
          <w:sz w:val="32"/>
          <w:szCs w:val="32"/>
        </w:rPr>
      </w:pPr>
      <w:r>
        <w:rPr>
          <w:rFonts w:hint="eastAsia" w:ascii="仿宋_GB2312" w:hAnsi="ˎ̥" w:eastAsia="仿宋_GB2312"/>
          <w:sz w:val="32"/>
          <w:szCs w:val="32"/>
        </w:rPr>
        <w:t>（根据各部门（单位）实际支出涉及的支出功能分类项级科目填列，本部分2020年决算相关数据取自财决公开07表；2019年决算相关数据取自财决09表《政府性基金预算财政拨款收入支出决算表》）。</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ˎ̥" w:eastAsia="仿宋_GB2312"/>
          <w:sz w:val="32"/>
          <w:szCs w:val="32"/>
        </w:rPr>
      </w:pPr>
      <w:r>
        <w:rPr>
          <w:rFonts w:hint="eastAsia" w:ascii="仿宋_GB2312" w:hAnsi="ˎ̥" w:eastAsia="仿宋_GB2312"/>
          <w:sz w:val="32"/>
          <w:szCs w:val="32"/>
        </w:rPr>
        <w:t>2020年度国有资本经营预算财政拨款支出0万元，占本年支出合计的0%。（2020年度国有资本经营预算收支首次公开，可选择不做上下年对比）</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ˎ̥" w:eastAsia="仿宋_GB2312"/>
          <w:sz w:val="32"/>
          <w:szCs w:val="32"/>
        </w:rPr>
      </w:pPr>
      <w:r>
        <w:rPr>
          <w:rFonts w:hint="eastAsia" w:ascii="仿宋_GB2312" w:hAnsi="ˎ̥" w:eastAsia="仿宋_GB2312"/>
          <w:sz w:val="32"/>
          <w:szCs w:val="32"/>
        </w:rPr>
        <w:t>2020年度国有资本经营预算财政拨款支出0万元。</w:t>
      </w:r>
    </w:p>
    <w:p>
      <w:pPr>
        <w:ind w:firstLine="640" w:firstLineChars="200"/>
        <w:rPr>
          <w:rFonts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ˎ̥" w:eastAsia="仿宋_GB2312"/>
          <w:b/>
          <w:sz w:val="32"/>
          <w:szCs w:val="32"/>
        </w:rPr>
      </w:pPr>
      <w:r>
        <w:rPr>
          <w:rFonts w:hint="eastAsia" w:ascii="仿宋_GB2312" w:hAnsi="ˎ̥" w:eastAsia="仿宋_GB2312"/>
          <w:sz w:val="32"/>
          <w:szCs w:val="32"/>
        </w:rPr>
        <w:t>2020年度国有资本经营预算财政拨款支出年初预算为0万元，支出决算为0万元，完成年初预算的0%。</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（根据各部门（单位）实际支出涉及的支出功能分类项级科目填列，本部分2020年决算相关数据取自财决公开08表）。</w:t>
      </w:r>
    </w:p>
    <w:p>
      <w:pPr>
        <w:ind w:firstLine="627" w:firstLineChars="196"/>
        <w:rPr>
          <w:rFonts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ascii="仿宋_GB2312" w:hAnsi="ˎ̥" w:eastAsia="仿宋_GB2312"/>
          <w:sz w:val="32"/>
          <w:szCs w:val="32"/>
        </w:rPr>
      </w:pPr>
      <w:r>
        <w:rPr>
          <w:rFonts w:hint="eastAsia" w:ascii="仿宋_GB2312" w:hAnsi="ˎ̥" w:eastAsia="仿宋_GB2312"/>
          <w:sz w:val="32"/>
          <w:szCs w:val="32"/>
        </w:rPr>
        <w:t xml:space="preserve">    2020年度一般公共预算财政拨款“三公”经费支出预算为14.84万元，支出决算为0万元，完成预算的0%。</w:t>
      </w:r>
    </w:p>
    <w:p>
      <w:pPr>
        <w:rPr>
          <w:rFonts w:ascii="楷体" w:hAnsi="楷体" w:eastAsia="楷体" w:cs="楷体"/>
          <w:b/>
          <w:bCs/>
          <w:sz w:val="32"/>
          <w:szCs w:val="32"/>
        </w:rPr>
      </w:pPr>
      <w:r>
        <w:rPr>
          <w:rFonts w:hint="eastAsia" w:ascii="楷体" w:hAnsi="楷体" w:eastAsia="楷体" w:cs="楷体"/>
          <w:b/>
          <w:bCs/>
          <w:sz w:val="32"/>
          <w:szCs w:val="32"/>
        </w:rPr>
        <w:t xml:space="preserve">    （二）一般公共预算财政拨款“三公”经费支出决算具体情况说明。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2020年度一般公共预算财政拨款“三公”经费支出决算中，因公出国（境）费支出决算0万元，占0%；公务用车购置及运行费支出决算0万元，占0%；公务接待费支出决算0万元，占0%。具体情况如下：</w:t>
      </w:r>
    </w:p>
    <w:p>
      <w:pPr>
        <w:ind w:firstLine="643" w:firstLineChars="200"/>
        <w:rPr>
          <w:rFonts w:ascii="仿宋_GB2312" w:hAnsi="ˎ̥" w:eastAsia="仿宋_GB2312"/>
          <w:sz w:val="32"/>
          <w:szCs w:val="32"/>
        </w:rPr>
      </w:pPr>
      <w:r>
        <w:rPr>
          <w:rFonts w:hint="eastAsia" w:ascii="仿宋_GB2312" w:hAnsi="ˎ̥" w:eastAsia="仿宋_GB2312"/>
          <w:b/>
          <w:sz w:val="32"/>
          <w:szCs w:val="32"/>
        </w:rPr>
        <w:t>1.因公出国（境）费</w:t>
      </w:r>
      <w:r>
        <w:rPr>
          <w:rFonts w:hint="eastAsia" w:ascii="仿宋_GB2312" w:hAnsi="ˎ̥" w:eastAsia="仿宋_GB2312"/>
          <w:sz w:val="32"/>
          <w:szCs w:val="32"/>
        </w:rPr>
        <w:t>支出0万元。全年安排因公出国（境）团组0个，因公出国（境）0人次。开支内容包括：</w:t>
      </w:r>
    </w:p>
    <w:p>
      <w:pPr>
        <w:ind w:firstLine="640" w:firstLineChars="200"/>
        <w:rPr>
          <w:rFonts w:ascii="仿宋_GB2312" w:hAnsi="ˎ̥" w:eastAsia="仿宋_GB2312"/>
          <w:sz w:val="32"/>
          <w:szCs w:val="32"/>
        </w:rPr>
      </w:pPr>
      <w:r>
        <w:rPr>
          <w:rFonts w:hint="eastAsia" w:ascii="仿宋_GB2312" w:hAnsi="ˎ̥" w:eastAsia="仿宋_GB2312"/>
          <w:sz w:val="32"/>
          <w:szCs w:val="32"/>
        </w:rPr>
        <w:t>无支出万元。主要用于（本年没有发生与该项相关事项）</w:t>
      </w:r>
    </w:p>
    <w:p>
      <w:pPr>
        <w:ind w:firstLine="640" w:firstLineChars="200"/>
        <w:rPr>
          <w:rFonts w:ascii="仿宋_GB2312" w:hAnsi="ˎ̥" w:eastAsia="仿宋_GB2312"/>
          <w:sz w:val="32"/>
          <w:szCs w:val="32"/>
        </w:rPr>
      </w:pPr>
      <w:r>
        <w:rPr>
          <w:rFonts w:hint="eastAsia" w:ascii="仿宋_GB2312" w:hAnsi="ˎ̥" w:eastAsia="仿宋_GB2312"/>
          <w:sz w:val="32"/>
          <w:szCs w:val="32"/>
        </w:rPr>
        <w:t>无支出万元。主要用于……</w:t>
      </w:r>
    </w:p>
    <w:p>
      <w:pPr>
        <w:ind w:firstLine="640" w:firstLineChars="200"/>
        <w:rPr>
          <w:rFonts w:ascii="仿宋_GB2312" w:hAnsi="ˎ̥" w:eastAsia="仿宋_GB2312"/>
          <w:sz w:val="32"/>
          <w:szCs w:val="32"/>
        </w:rPr>
      </w:pPr>
    </w:p>
    <w:p>
      <w:pPr>
        <w:ind w:firstLine="640" w:firstLineChars="200"/>
        <w:rPr>
          <w:rFonts w:ascii="仿宋_GB2312" w:hAnsi="ˎ̥" w:eastAsia="仿宋_GB2312"/>
          <w:sz w:val="32"/>
          <w:szCs w:val="32"/>
        </w:rPr>
      </w:pPr>
      <w:r>
        <w:rPr>
          <w:rFonts w:hint="eastAsia" w:ascii="仿宋_GB2312" w:hAnsi="ˎ̥" w:eastAsia="仿宋_GB2312"/>
          <w:sz w:val="32"/>
          <w:szCs w:val="32"/>
        </w:rPr>
        <w:t>因公出国（境）费支出决算比预算数增加（减少）0万元，增长（下降）0%。主要原因是本年未安排人员因公出国（境）。</w:t>
      </w:r>
    </w:p>
    <w:p>
      <w:pPr>
        <w:rPr>
          <w:rFonts w:ascii="仿宋_GB2312" w:hAnsi="ˎ̥" w:eastAsia="仿宋_GB2312"/>
          <w:sz w:val="32"/>
          <w:szCs w:val="32"/>
        </w:rPr>
      </w:pPr>
      <w:r>
        <w:rPr>
          <w:rFonts w:hint="eastAsia" w:ascii="仿宋_GB2312" w:hAnsi="ˎ̥" w:eastAsia="仿宋_GB2312"/>
          <w:b/>
          <w:sz w:val="32"/>
          <w:szCs w:val="32"/>
        </w:rPr>
        <w:t xml:space="preserve">    2.公务用车购置及运行费支出</w:t>
      </w:r>
      <w:r>
        <w:rPr>
          <w:rFonts w:hint="eastAsia" w:ascii="仿宋_GB2312" w:hAnsi="ˎ̥" w:eastAsia="仿宋_GB2312"/>
          <w:sz w:val="32"/>
          <w:szCs w:val="32"/>
        </w:rPr>
        <w:t>0万元。其中：</w:t>
      </w:r>
    </w:p>
    <w:p>
      <w:pPr>
        <w:ind w:firstLine="643" w:firstLineChars="200"/>
        <w:rPr>
          <w:rFonts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rPr>
        <w:t>0万元，全年购置公务用车0辆，主要用于（本年没有发生与该项相关事项），年末公务用车保有量0辆。</w:t>
      </w:r>
    </w:p>
    <w:p>
      <w:pPr>
        <w:ind w:firstLine="643" w:firstLineChars="200"/>
        <w:rPr>
          <w:rFonts w:ascii="仿宋_GB2312" w:hAnsi="ˎ̥" w:eastAsia="仿宋_GB2312"/>
          <w:sz w:val="32"/>
          <w:szCs w:val="32"/>
        </w:rPr>
      </w:pPr>
      <w:r>
        <w:rPr>
          <w:rFonts w:hint="eastAsia" w:ascii="仿宋_GB2312" w:hAnsi="ˎ̥" w:eastAsia="仿宋_GB2312"/>
          <w:b/>
          <w:sz w:val="32"/>
          <w:szCs w:val="32"/>
        </w:rPr>
        <w:t>公务用车运行维护费</w:t>
      </w:r>
      <w:r>
        <w:rPr>
          <w:rFonts w:hint="eastAsia" w:ascii="仿宋_GB2312" w:hAnsi="ˎ̥" w:eastAsia="仿宋_GB2312"/>
          <w:sz w:val="32"/>
          <w:szCs w:val="32"/>
        </w:rPr>
        <w:t>支出0万元，主要用于（本年没有发生与该项相关事项）。</w:t>
      </w:r>
    </w:p>
    <w:p>
      <w:pPr>
        <w:ind w:firstLine="640" w:firstLineChars="200"/>
        <w:rPr>
          <w:rFonts w:ascii="仿宋_GB2312" w:hAnsi="ˎ̥" w:eastAsia="仿宋_GB2312"/>
          <w:bCs/>
          <w:sz w:val="32"/>
          <w:szCs w:val="32"/>
        </w:rPr>
      </w:pPr>
      <w:r>
        <w:rPr>
          <w:rFonts w:hint="eastAsia" w:ascii="仿宋_GB2312" w:hAnsi="ˎ̥" w:eastAsia="仿宋_GB2312"/>
          <w:bCs/>
          <w:sz w:val="32"/>
          <w:szCs w:val="32"/>
        </w:rPr>
        <w:t>公务用车购置及运行费支出决算数</w:t>
      </w:r>
      <w:r>
        <w:rPr>
          <w:rFonts w:hint="eastAsia" w:ascii="仿宋_GB2312" w:hAnsi="ˎ̥" w:eastAsia="仿宋_GB2312"/>
          <w:sz w:val="32"/>
          <w:szCs w:val="32"/>
        </w:rPr>
        <w:t>比预算数增加（减少）0万元，增长（下降）0%。主要原因是本年没有发生与该项相关支出。</w:t>
      </w:r>
    </w:p>
    <w:p>
      <w:pPr>
        <w:rPr>
          <w:rFonts w:ascii="仿宋_GB2312" w:hAnsi="ˎ̥" w:eastAsia="仿宋_GB2312"/>
          <w:sz w:val="32"/>
          <w:szCs w:val="32"/>
        </w:rPr>
      </w:pPr>
      <w:r>
        <w:rPr>
          <w:rFonts w:hint="eastAsia" w:ascii="仿宋_GB2312" w:hAnsi="ˎ̥" w:eastAsia="仿宋_GB2312"/>
          <w:b/>
          <w:sz w:val="32"/>
          <w:szCs w:val="32"/>
        </w:rPr>
        <w:t xml:space="preserve">    3.公务接待费支出</w:t>
      </w:r>
      <w:r>
        <w:rPr>
          <w:rFonts w:hint="eastAsia" w:ascii="仿宋_GB2312" w:hAnsi="ˎ̥" w:eastAsia="仿宋_GB2312"/>
          <w:sz w:val="32"/>
          <w:szCs w:val="32"/>
        </w:rPr>
        <w:t>0万元，其中：</w:t>
      </w:r>
    </w:p>
    <w:p>
      <w:pPr>
        <w:ind w:firstLine="643" w:firstLineChars="200"/>
        <w:rPr>
          <w:rFonts w:ascii="仿宋_GB2312" w:hAnsi="ˎ̥" w:eastAsia="仿宋_GB2312"/>
          <w:bCs/>
          <w:sz w:val="32"/>
          <w:szCs w:val="32"/>
        </w:rPr>
      </w:pPr>
      <w:r>
        <w:rPr>
          <w:rFonts w:hint="eastAsia" w:ascii="仿宋_GB2312" w:hAnsi="ˎ̥" w:eastAsia="仿宋_GB2312"/>
          <w:b/>
          <w:sz w:val="32"/>
          <w:szCs w:val="32"/>
        </w:rPr>
        <w:t>国内接待费</w:t>
      </w:r>
      <w:r>
        <w:rPr>
          <w:rFonts w:hint="eastAsia" w:ascii="仿宋_GB2312" w:hAnsi="ˎ̥" w:eastAsia="仿宋_GB2312"/>
          <w:sz w:val="32"/>
          <w:szCs w:val="32"/>
        </w:rPr>
        <w:t>支出0万元，国内公务接待0批次，接待0人次；主要用于（本年没有发生与该项相关事项）。</w:t>
      </w:r>
    </w:p>
    <w:p>
      <w:pPr>
        <w:ind w:firstLine="640" w:firstLineChars="200"/>
        <w:rPr>
          <w:rFonts w:ascii="仿宋_GB2312" w:hAnsi="ˎ̥" w:eastAsia="仿宋_GB2312"/>
          <w:sz w:val="32"/>
          <w:szCs w:val="32"/>
        </w:rPr>
      </w:pPr>
      <w:r>
        <w:rPr>
          <w:rFonts w:hint="eastAsia" w:ascii="仿宋_GB2312" w:hAnsi="ˎ̥" w:eastAsia="仿宋_GB2312"/>
          <w:sz w:val="32"/>
          <w:szCs w:val="32"/>
        </w:rPr>
        <w:t>国（境）外接待费支出0万元，国（境）外公务接待0批次，接待0人次；主要用于（本年没有发生与该项相关事项）。</w:t>
      </w:r>
    </w:p>
    <w:p>
      <w:pPr>
        <w:ind w:firstLine="640" w:firstLineChars="200"/>
        <w:rPr>
          <w:rFonts w:ascii="仿宋_GB2312" w:hAnsi="ˎ̥" w:eastAsia="仿宋_GB2312"/>
          <w:sz w:val="32"/>
          <w:szCs w:val="32"/>
        </w:rPr>
      </w:pPr>
      <w:r>
        <w:rPr>
          <w:rFonts w:hint="eastAsia" w:ascii="仿宋_GB2312" w:hAnsi="ˎ̥" w:eastAsia="仿宋_GB2312"/>
          <w:sz w:val="32"/>
          <w:szCs w:val="32"/>
        </w:rPr>
        <w:t>公务接待费支出决算数比预算数增加（减少）0万元，增长（下降）0%。主要原因是本年没有发生与该项相关事项。</w:t>
      </w:r>
    </w:p>
    <w:p>
      <w:pPr>
        <w:ind w:firstLine="640" w:firstLineChars="200"/>
        <w:rPr>
          <w:rFonts w:ascii="仿宋_GB2312" w:hAnsi="ˎ̥" w:eastAsia="仿宋_GB2312"/>
          <w:sz w:val="32"/>
          <w:szCs w:val="32"/>
        </w:rPr>
      </w:pPr>
      <w:r>
        <w:rPr>
          <w:rFonts w:hint="eastAsia" w:ascii="仿宋_GB2312" w:hAnsi="ˎ̥" w:eastAsia="仿宋_GB2312"/>
          <w:sz w:val="32"/>
          <w:szCs w:val="32"/>
        </w:rPr>
        <w:t>（2020年度“三公”经费预算数、决算数可取自附件财决公开09表，2020年的出国团组数、出国人次，公务用车购置数、公务用车保有量，接待团组数、接待人次可取自部门决算报表F03表《机构运行信息表》）。</w:t>
      </w: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2020年度政府性基金预算财政拨款“三公”经费支出合计0万元。其中：因公出国（境）费支出决算0万元，占0%；公务用车购置及运行费支出决算0万元，占0%；公务接待费支出决算0万元，占0%。</w:t>
      </w:r>
    </w:p>
    <w:p>
      <w:pPr>
        <w:ind w:firstLine="640" w:firstLineChars="200"/>
        <w:rPr>
          <w:rFonts w:ascii="仿宋_GB2312" w:hAnsi="ˎ̥" w:eastAsia="仿宋_GB2312"/>
          <w:sz w:val="32"/>
          <w:szCs w:val="32"/>
        </w:rPr>
      </w:pPr>
      <w:r>
        <w:rPr>
          <w:rFonts w:hint="eastAsia" w:ascii="仿宋_GB2312" w:hAnsi="ˎ̥" w:eastAsia="仿宋_GB2312"/>
          <w:sz w:val="32"/>
          <w:szCs w:val="32"/>
        </w:rPr>
        <w:t>（本部分决算公开数字取自财决公开10表）</w:t>
      </w:r>
    </w:p>
    <w:p>
      <w:pPr>
        <w:ind w:firstLine="627" w:firstLineChars="196"/>
        <w:rPr>
          <w:rFonts w:ascii="仿宋_GB2312" w:hAnsi="ˎ̥"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2020年度国有资本经营预算财政拨款“三公”经费支出合计0万元。其中：因公出国（境）费支出决算0万元，占0%；公务用车购置及运行费支出决算0万元，占0%；公务接待费支出决算0万元，占0%。</w:t>
      </w:r>
    </w:p>
    <w:p>
      <w:pPr>
        <w:ind w:firstLine="640" w:firstLineChars="200"/>
        <w:rPr>
          <w:rFonts w:ascii="仿宋_GB2312" w:hAnsi="ˎ̥" w:eastAsia="仿宋_GB2312"/>
          <w:sz w:val="32"/>
          <w:szCs w:val="32"/>
        </w:rPr>
      </w:pPr>
      <w:r>
        <w:rPr>
          <w:rFonts w:hint="eastAsia" w:ascii="仿宋_GB2312" w:hAnsi="ˎ̥" w:eastAsia="仿宋_GB2312"/>
          <w:sz w:val="32"/>
          <w:szCs w:val="32"/>
        </w:rPr>
        <w:t>（本部分决算公开数字取自财决公开11表）</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根据财政预算绩效管理要求，可按照如下格式说明：根据财政预算管理要求，我部门（单位）组织对2020年度一般公共预算项目支出全面开展绩效自评。自评项目3个，共涉及资金1154.86万元，自评覆盖率达到100%。</w:t>
      </w:r>
    </w:p>
    <w:p>
      <w:pPr>
        <w:spacing w:line="578" w:lineRule="exact"/>
        <w:ind w:firstLine="640" w:firstLineChars="200"/>
        <w:outlineLvl w:val="0"/>
        <w:rPr>
          <w:rFonts w:ascii="仿宋_GB2312" w:eastAsia="仿宋_GB2312"/>
          <w:sz w:val="32"/>
          <w:szCs w:val="32"/>
        </w:rPr>
      </w:pPr>
      <w:r>
        <w:rPr>
          <w:rFonts w:hint="eastAsia" w:ascii="仿宋_GB2312" w:eastAsia="仿宋_GB2312"/>
          <w:sz w:val="32"/>
          <w:szCs w:val="32"/>
        </w:rPr>
        <w:t>共组织对“综合事务项目”等3个项目开展了部门评价，涉及资金1154.86万元。从评价情况来看，</w:t>
      </w:r>
      <w:r>
        <w:rPr>
          <w:rFonts w:hint="eastAsia" w:ascii="宋体" w:hAnsi="宋体" w:cs="宋体"/>
          <w:color w:val="333333"/>
          <w:sz w:val="30"/>
          <w:szCs w:val="30"/>
        </w:rPr>
        <w:t>项目的开支均按照海口市事业单位会计制度执行，严控资金支出，整个项目的运行按照海口市事业单位会计制度和我处内部管理制度的有关规定执行，严格控制预算资金的使用，支付及时，</w:t>
      </w:r>
      <w:r>
        <w:rPr>
          <w:rFonts w:hint="eastAsia" w:ascii="宋体" w:hAnsi="宋体" w:cs="宋体"/>
          <w:color w:val="333333"/>
          <w:spacing w:val="8"/>
          <w:sz w:val="30"/>
          <w:szCs w:val="30"/>
          <w:shd w:val="clear" w:color="auto" w:fill="FFFFFF"/>
        </w:rPr>
        <w:t>没有发生违法违规现象</w:t>
      </w:r>
      <w:r>
        <w:rPr>
          <w:rFonts w:hint="eastAsia" w:ascii="宋体" w:hAnsi="宋体" w:cs="宋体"/>
          <w:color w:val="333333"/>
          <w:sz w:val="30"/>
          <w:szCs w:val="30"/>
        </w:rPr>
        <w:t>，确保了项目预期目标的顺利完成。</w:t>
      </w:r>
    </w:p>
    <w:p>
      <w:pPr>
        <w:ind w:firstLine="640" w:firstLineChars="200"/>
        <w:rPr>
          <w:rFonts w:ascii="仿宋_GB2312" w:eastAsia="仿宋_GB2312"/>
          <w:sz w:val="32"/>
          <w:szCs w:val="32"/>
        </w:rPr>
      </w:pPr>
      <w:r>
        <w:rPr>
          <w:rFonts w:hint="eastAsia" w:ascii="仿宋_GB2312" w:eastAsia="仿宋_GB2312"/>
          <w:sz w:val="32"/>
          <w:szCs w:val="32"/>
        </w:rPr>
        <w:t>开展整体支出绩效评价，涉及资金1154.86万元。从评价情况来看，……（本年没有要求本单位进行开展整体支出绩效评价）。</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（二）部门决算中项目绩效自评结果。（本单位没有</w:t>
      </w:r>
      <w:r>
        <w:rPr>
          <w:rFonts w:hint="eastAsia" w:ascii="仿宋_GB2312" w:eastAsia="仿宋_GB2312"/>
          <w:sz w:val="32"/>
          <w:szCs w:val="32"/>
        </w:rPr>
        <w:t>在省本级部门决算中反映）</w:t>
      </w:r>
    </w:p>
    <w:p>
      <w:pPr>
        <w:ind w:firstLine="640" w:firstLineChars="200"/>
        <w:rPr>
          <w:rFonts w:ascii="仿宋_GB2312" w:eastAsia="仿宋_GB2312"/>
          <w:sz w:val="32"/>
          <w:szCs w:val="32"/>
        </w:rPr>
      </w:pPr>
      <w:r>
        <w:rPr>
          <w:rFonts w:hint="eastAsia" w:ascii="仿宋_GB2312" w:eastAsia="仿宋_GB2312"/>
          <w:sz w:val="32"/>
          <w:szCs w:val="32"/>
        </w:rPr>
        <w:t>参照如下格式说明（表述应与决算内容保持一致）：我部门（单位）今年在省本级部门决算中反映XXX及XXX项目绩效自评结果。</w:t>
      </w:r>
    </w:p>
    <w:p>
      <w:pPr>
        <w:ind w:firstLine="640" w:firstLineChars="200"/>
        <w:rPr>
          <w:rFonts w:ascii="仿宋_GB2312" w:eastAsia="仿宋_GB2312"/>
          <w:sz w:val="32"/>
          <w:szCs w:val="32"/>
        </w:rPr>
      </w:pPr>
      <w:r>
        <w:rPr>
          <w:rFonts w:hint="eastAsia" w:ascii="仿宋_GB2312" w:eastAsia="仿宋_GB2312"/>
          <w:sz w:val="32"/>
          <w:szCs w:val="32"/>
        </w:rPr>
        <w:t>XXX项目绩效自评综述：根据年初设定的绩效目标，项目自评得分为XX分。全年预算数为XX万元，执行数为XX万元，完成预算的XX%。项目绩效目标完成情况：一是……；二是……。发现的主要问题及原因：一是……；二是……。下一步改进措施：一是……；二是……。</w:t>
      </w:r>
    </w:p>
    <w:p>
      <w:pPr>
        <w:ind w:firstLine="640" w:firstLineChars="200"/>
        <w:rPr>
          <w:rFonts w:ascii="仿宋_GB2312" w:eastAsia="仿宋_GB2312"/>
          <w:sz w:val="32"/>
          <w:szCs w:val="32"/>
        </w:rPr>
      </w:pPr>
      <w:r>
        <w:rPr>
          <w:rFonts w:hint="eastAsia" w:ascii="仿宋_GB2312" w:eastAsia="仿宋_GB2312"/>
          <w:sz w:val="32"/>
          <w:szCs w:val="32"/>
        </w:rPr>
        <w:t>XXX项目绩效自评综述：……。</w:t>
      </w:r>
    </w:p>
    <w:p>
      <w:pPr>
        <w:numPr>
          <w:ilvl w:val="0"/>
          <w:numId w:val="3"/>
        </w:num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财政评价项目绩效评价结果</w:t>
      </w:r>
    </w:p>
    <w:p>
      <w:pPr>
        <w:spacing w:line="578" w:lineRule="exact"/>
        <w:jc w:val="left"/>
        <w:outlineLvl w:val="0"/>
        <w:rPr>
          <w:rFonts w:ascii="仿宋" w:hAnsi="仿宋" w:eastAsia="仿宋" w:cs="仿宋_GB2312"/>
          <w:b/>
          <w:color w:val="000000"/>
          <w:sz w:val="30"/>
          <w:szCs w:val="30"/>
        </w:rPr>
      </w:pPr>
      <w:r>
        <w:rPr>
          <w:rFonts w:hint="eastAsia" w:ascii="仿宋" w:hAnsi="仿宋" w:eastAsia="仿宋"/>
          <w:b/>
          <w:bCs/>
          <w:color w:val="333333"/>
          <w:sz w:val="30"/>
          <w:szCs w:val="30"/>
        </w:rPr>
        <w:t>绿化管理</w:t>
      </w:r>
      <w:r>
        <w:rPr>
          <w:rFonts w:hint="eastAsia" w:ascii="仿宋" w:hAnsi="仿宋" w:eastAsia="仿宋" w:cs="仿宋_GB2312"/>
          <w:b/>
          <w:bCs/>
          <w:color w:val="000000"/>
          <w:sz w:val="30"/>
          <w:szCs w:val="30"/>
        </w:rPr>
        <w:t>项目</w:t>
      </w:r>
    </w:p>
    <w:p>
      <w:pPr>
        <w:spacing w:line="578" w:lineRule="exact"/>
        <w:jc w:val="left"/>
        <w:outlineLvl w:val="0"/>
        <w:rPr>
          <w:rFonts w:ascii="仿宋" w:hAnsi="仿宋" w:eastAsia="仿宋" w:cs="仿宋_GB2312"/>
          <w:b/>
          <w:color w:val="000000"/>
          <w:sz w:val="30"/>
          <w:szCs w:val="30"/>
        </w:rPr>
      </w:pPr>
      <w:r>
        <w:rPr>
          <w:rFonts w:hint="eastAsia" w:ascii="仿宋" w:hAnsi="仿宋" w:eastAsia="仿宋" w:cs="仿宋_GB2312"/>
          <w:b/>
          <w:color w:val="000000"/>
          <w:sz w:val="30"/>
          <w:szCs w:val="30"/>
        </w:rPr>
        <w:t>（1）基本性质、用途和主要内容</w:t>
      </w:r>
      <w:r>
        <w:rPr>
          <w:rFonts w:hint="eastAsia" w:ascii="仿宋" w:hAnsi="仿宋" w:eastAsia="仿宋"/>
          <w:color w:val="333333"/>
          <w:sz w:val="28"/>
          <w:szCs w:val="28"/>
        </w:rPr>
        <w:t>项目绿化管理属经常性项目，绿化管理的用途主要是</w:t>
      </w:r>
      <w:r>
        <w:rPr>
          <w:rFonts w:hint="eastAsia" w:ascii="仿宋" w:hAnsi="仿宋" w:eastAsia="仿宋" w:cs="宋体"/>
          <w:color w:val="000000"/>
          <w:kern w:val="0"/>
          <w:sz w:val="28"/>
          <w:szCs w:val="28"/>
        </w:rPr>
        <w:t>创建最精美热带花园城市目标，满足人民生活水平日益提高，对生活环境的要求不断提升的要求。</w:t>
      </w:r>
      <w:r>
        <w:rPr>
          <w:rFonts w:hint="eastAsia" w:ascii="仿宋" w:hAnsi="仿宋" w:eastAsia="仿宋"/>
          <w:color w:val="333333"/>
          <w:sz w:val="28"/>
          <w:szCs w:val="28"/>
        </w:rPr>
        <w:t>绿化管理的主要内容是万绿园管理处编外合同工人的工资及五险一金等工资福利支出。</w:t>
      </w:r>
    </w:p>
    <w:p>
      <w:pPr>
        <w:pStyle w:val="5"/>
        <w:shd w:val="clear" w:color="auto" w:fill="FFFFFF"/>
        <w:spacing w:before="0" w:beforeAutospacing="0" w:after="0" w:afterAutospacing="0" w:line="560" w:lineRule="atLeast"/>
        <w:jc w:val="both"/>
        <w:rPr>
          <w:rFonts w:ascii="仿宋" w:hAnsi="仿宋" w:eastAsia="仿宋"/>
          <w:b/>
          <w:color w:val="333333"/>
          <w:sz w:val="30"/>
          <w:szCs w:val="30"/>
        </w:rPr>
      </w:pPr>
      <w:r>
        <w:rPr>
          <w:rFonts w:hint="eastAsia" w:ascii="仿宋" w:hAnsi="仿宋" w:eastAsia="仿宋" w:cs="仿宋_GB2312"/>
          <w:b/>
          <w:color w:val="000000"/>
          <w:sz w:val="30"/>
          <w:szCs w:val="30"/>
        </w:rPr>
        <w:t>（2）项目绩效目标：</w:t>
      </w:r>
      <w:r>
        <w:rPr>
          <w:rFonts w:hint="eastAsia" w:ascii="仿宋" w:hAnsi="仿宋" w:eastAsia="仿宋"/>
          <w:color w:val="000000"/>
          <w:sz w:val="28"/>
          <w:szCs w:val="28"/>
        </w:rPr>
        <w:t>绿化管理的绩效目标  编外合同工工资及五险一金及时发放率和缴纳率100%。（3）</w:t>
      </w:r>
      <w:r>
        <w:rPr>
          <w:rFonts w:hint="eastAsia" w:ascii="仿宋" w:hAnsi="仿宋" w:eastAsia="仿宋" w:cs="仿宋_GB2312"/>
          <w:b/>
          <w:bCs/>
          <w:color w:val="000000"/>
          <w:sz w:val="32"/>
          <w:szCs w:val="32"/>
        </w:rPr>
        <w:t>项目资金使用及管理情况</w:t>
      </w:r>
      <w:r>
        <w:rPr>
          <w:rFonts w:hint="eastAsia" w:ascii="仿宋" w:hAnsi="仿宋" w:eastAsia="仿宋"/>
          <w:b/>
          <w:color w:val="333333"/>
          <w:sz w:val="30"/>
          <w:szCs w:val="30"/>
        </w:rPr>
        <w:t>：</w:t>
      </w:r>
      <w:r>
        <w:rPr>
          <w:rFonts w:hint="eastAsia" w:ascii="仿宋" w:hAnsi="仿宋" w:eastAsia="仿宋"/>
          <w:color w:val="333333"/>
          <w:sz w:val="28"/>
          <w:szCs w:val="28"/>
        </w:rPr>
        <w:t xml:space="preserve"> 2020年财政支出绩效自评项目资金到位情况:绿化管理计划资金883.929万元，实际到位资金964.75万元，项目资金于2020年内拨付到位。（4）2020年财政支出绩效自评项目资金支出情况如下：</w:t>
      </w:r>
    </w:p>
    <w:p>
      <w:pPr>
        <w:pStyle w:val="5"/>
        <w:shd w:val="clear" w:color="auto" w:fill="FFFFFF"/>
        <w:spacing w:before="0" w:beforeAutospacing="0" w:after="0" w:afterAutospacing="0" w:line="560" w:lineRule="atLeast"/>
        <w:rPr>
          <w:rFonts w:ascii="仿宋" w:hAnsi="仿宋" w:eastAsia="仿宋"/>
          <w:color w:val="333333"/>
          <w:sz w:val="28"/>
          <w:szCs w:val="28"/>
        </w:rPr>
      </w:pPr>
      <w:r>
        <w:rPr>
          <w:rFonts w:hint="eastAsia" w:ascii="仿宋" w:hAnsi="仿宋" w:eastAsia="仿宋"/>
          <w:color w:val="333333"/>
          <w:sz w:val="28"/>
          <w:szCs w:val="28"/>
        </w:rPr>
        <w:t>绿化管理支出964.75万元，其中工资福利支出873.84万元,工会经费10.09万元，维修维护费68.75万元，无形资产购置12.07万元。</w:t>
      </w:r>
    </w:p>
    <w:p>
      <w:pPr>
        <w:spacing w:line="578" w:lineRule="exact"/>
        <w:outlineLvl w:val="0"/>
        <w:rPr>
          <w:rFonts w:ascii="仿宋" w:hAnsi="仿宋" w:eastAsia="仿宋" w:cs="仿宋_GB2312"/>
          <w:b/>
          <w:bCs/>
          <w:sz w:val="32"/>
          <w:szCs w:val="32"/>
        </w:rPr>
      </w:pPr>
      <w:r>
        <w:rPr>
          <w:rFonts w:hint="eastAsia" w:ascii="仿宋" w:hAnsi="仿宋" w:eastAsia="仿宋" w:cs="仿宋_GB2312"/>
          <w:b/>
          <w:bCs/>
          <w:sz w:val="32"/>
          <w:szCs w:val="32"/>
        </w:rPr>
        <w:t>（5）综合评价情况及评价结论</w:t>
      </w:r>
      <w:r>
        <w:rPr>
          <w:rFonts w:hint="eastAsia" w:ascii="仿宋" w:hAnsi="仿宋" w:eastAsia="仿宋"/>
          <w:color w:val="333333"/>
          <w:sz w:val="28"/>
          <w:szCs w:val="28"/>
        </w:rPr>
        <w:t>项目的开支均按照海口市事业单位会计制度执行，严控资金支出，整个项目的运行按照海口市事业单位会计制度和我处内部管理制度的有关规定执行，严格控制预算资金的使用，支付及时，</w:t>
      </w:r>
      <w:r>
        <w:rPr>
          <w:rFonts w:hint="eastAsia" w:ascii="仿宋" w:hAnsi="仿宋" w:eastAsia="仿宋"/>
          <w:color w:val="333333"/>
          <w:spacing w:val="8"/>
          <w:sz w:val="28"/>
          <w:szCs w:val="28"/>
          <w:shd w:val="clear" w:color="auto" w:fill="FFFFFF"/>
        </w:rPr>
        <w:t>没有发生违法违规现象</w:t>
      </w:r>
      <w:r>
        <w:rPr>
          <w:rFonts w:hint="eastAsia" w:ascii="仿宋" w:hAnsi="仿宋" w:eastAsia="仿宋"/>
          <w:color w:val="333333"/>
          <w:sz w:val="28"/>
          <w:szCs w:val="28"/>
        </w:rPr>
        <w:t xml:space="preserve">，确保了项目预期目标的顺利完成。本项目综合考评得分为 98 分，评价等次确定为 优  </w:t>
      </w:r>
    </w:p>
    <w:p>
      <w:pPr>
        <w:spacing w:line="578" w:lineRule="exact"/>
        <w:ind w:firstLine="321" w:firstLineChars="100"/>
        <w:rPr>
          <w:rFonts w:ascii="楷体" w:hAnsi="楷体" w:eastAsia="楷体" w:cs="楷体"/>
          <w:b/>
          <w:sz w:val="32"/>
          <w:szCs w:val="32"/>
        </w:rPr>
      </w:pPr>
      <w:r>
        <w:rPr>
          <w:rFonts w:hint="eastAsia" w:ascii="楷体" w:hAnsi="楷体" w:eastAsia="楷体" w:cs="楷体"/>
          <w:b/>
          <w:sz w:val="32"/>
          <w:szCs w:val="32"/>
        </w:rPr>
        <w:t>（四）部门评价项目绩效评价结果。（本单位没有该项公开）</w:t>
      </w:r>
    </w:p>
    <w:p>
      <w:pPr>
        <w:ind w:firstLine="640" w:firstLineChars="200"/>
        <w:rPr>
          <w:rFonts w:ascii="楷体" w:hAnsi="楷体" w:eastAsia="楷体" w:cs="楷体"/>
          <w:b/>
          <w:sz w:val="32"/>
          <w:szCs w:val="32"/>
        </w:rPr>
      </w:pPr>
      <w:r>
        <w:rPr>
          <w:rFonts w:hint="eastAsia" w:ascii="仿宋_GB2312" w:eastAsia="仿宋_GB2312"/>
          <w:sz w:val="32"/>
          <w:szCs w:val="32"/>
        </w:rPr>
        <w:t>每个市本级部门至少将1个部门评价报告向社会公开，报告框架可参照《项目支出绩效评价管理办法》（财预〔2020〕10号）中的《项目支出绩效评价报告（参考提纲）》。</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ascii="楷体" w:hAnsi="楷体" w:eastAsia="楷体" w:cs="楷体"/>
          <w:b/>
          <w:sz w:val="32"/>
          <w:szCs w:val="32"/>
        </w:rPr>
      </w:pPr>
      <w:bookmarkStart w:id="95" w:name="_Toc5978_WPSOffice_Level2"/>
      <w:bookmarkStart w:id="96" w:name="_Toc15262_WPSOffice_Level2"/>
      <w:bookmarkStart w:id="97" w:name="_Toc32639_WPSOffice_Level2"/>
      <w:bookmarkStart w:id="98" w:name="_Toc15565_WPSOffice_Level2"/>
      <w:bookmarkStart w:id="99" w:name="_Toc23598_WPSOffice_Level2"/>
      <w:bookmarkStart w:id="100" w:name="_Toc18325_WPSOffice_Level2"/>
      <w:bookmarkStart w:id="101" w:name="_Toc25333_WPSOffice_Level2"/>
      <w:bookmarkStart w:id="102" w:name="_Toc3131_WPSOffice_Level2"/>
      <w:bookmarkStart w:id="103" w:name="_Toc13084_WPSOffice_Level2"/>
      <w:bookmarkStart w:id="104" w:name="_Toc23966_WPSOffice_Level2"/>
      <w:bookmarkStart w:id="105" w:name="_Toc32689_WPSOffice_Level2"/>
      <w:bookmarkStart w:id="106" w:name="_Toc30383_WPSOffice_Level2"/>
      <w:r>
        <w:rPr>
          <w:rFonts w:hint="eastAsia" w:ascii="楷体" w:hAnsi="楷体" w:eastAsia="楷体" w:cs="楷体"/>
          <w:b/>
          <w:sz w:val="32"/>
          <w:szCs w:val="32"/>
        </w:rPr>
        <w:t>（一）机关运行经费支出情况。</w:t>
      </w:r>
      <w:bookmarkEnd w:id="95"/>
      <w:bookmarkEnd w:id="96"/>
      <w:bookmarkEnd w:id="97"/>
      <w:bookmarkEnd w:id="98"/>
      <w:bookmarkEnd w:id="99"/>
      <w:bookmarkEnd w:id="100"/>
      <w:r>
        <w:rPr>
          <w:rFonts w:hint="eastAsia" w:ascii="楷体" w:hAnsi="楷体" w:eastAsia="楷体" w:cs="楷体"/>
          <w:b/>
          <w:sz w:val="32"/>
          <w:szCs w:val="32"/>
        </w:rPr>
        <w:t>（本单位属于事业单位无机关运行经费支出）</w:t>
      </w:r>
    </w:p>
    <w:p>
      <w:pPr>
        <w:ind w:firstLine="643" w:firstLineChars="200"/>
        <w:rPr>
          <w:rFonts w:ascii="楷体" w:hAnsi="楷体" w:eastAsia="楷体" w:cs="楷体"/>
          <w:b/>
          <w:sz w:val="32"/>
          <w:szCs w:val="32"/>
        </w:rPr>
      </w:pPr>
      <w:r>
        <w:rPr>
          <w:rFonts w:hint="eastAsia" w:ascii="楷体" w:hAnsi="楷体" w:eastAsia="楷体" w:cs="楷体"/>
          <w:b/>
          <w:sz w:val="32"/>
          <w:szCs w:val="32"/>
        </w:rPr>
        <w:t>（二）政府采购支出情况。</w:t>
      </w:r>
      <w:bookmarkEnd w:id="101"/>
      <w:bookmarkEnd w:id="102"/>
      <w:bookmarkEnd w:id="103"/>
      <w:bookmarkEnd w:id="104"/>
      <w:bookmarkEnd w:id="105"/>
      <w:bookmarkEnd w:id="106"/>
    </w:p>
    <w:p>
      <w:pPr>
        <w:ind w:firstLine="640" w:firstLineChars="200"/>
        <w:rPr>
          <w:rFonts w:ascii="仿宋_GB2312" w:hAnsi="ˎ̥" w:eastAsia="仿宋_GB2312"/>
          <w:sz w:val="32"/>
          <w:szCs w:val="32"/>
        </w:rPr>
      </w:pPr>
      <w:bookmarkStart w:id="107" w:name="_Toc19989_WPSOffice_Level2"/>
      <w:bookmarkStart w:id="108" w:name="_Toc527_WPSOffice_Level2"/>
      <w:bookmarkStart w:id="109" w:name="_Toc10902_WPSOffice_Level2"/>
      <w:bookmarkStart w:id="110" w:name="_Toc29584_WPSOffice_Level2"/>
      <w:bookmarkStart w:id="111" w:name="_Toc15129_WPSOffice_Level2"/>
      <w:bookmarkStart w:id="112" w:name="_Toc6016_WPSOffice_Level2"/>
      <w:r>
        <w:rPr>
          <w:rFonts w:hint="eastAsia" w:ascii="仿宋_GB2312" w:hAnsi="ˎ̥" w:eastAsia="仿宋_GB2312"/>
          <w:sz w:val="32"/>
          <w:szCs w:val="32"/>
        </w:rPr>
        <w:t>2020年度本单位政府采购支出总额3.4万元，其中：政府采购货物支出3.4万元、政府采购工程支出0万元、政府采购服务支出0万元。授予中小企业合同金额3.4万元，占政府采购支出总额的100%，其中：授予小微企业合同金额0万元，占政府采购支出总额的0%。</w:t>
      </w:r>
    </w:p>
    <w:p>
      <w:pPr>
        <w:ind w:firstLine="640" w:firstLineChars="200"/>
        <w:rPr>
          <w:rFonts w:ascii="仿宋_GB2312" w:hAnsi="ˎ̥" w:eastAsia="仿宋_GB2312"/>
          <w:sz w:val="32"/>
          <w:szCs w:val="32"/>
        </w:rPr>
      </w:pPr>
      <w:r>
        <w:rPr>
          <w:rFonts w:hint="eastAsia" w:ascii="仿宋_GB2312" w:hAnsi="ˎ̥" w:eastAsia="仿宋_GB2312"/>
          <w:sz w:val="32"/>
          <w:szCs w:val="32"/>
        </w:rPr>
        <w:t>（上述政府采购支出相关数字取自2020年度部门决算报表F03表《机构运行信息表》，授予中小企业和小微企业合同金额由各部门查阅本部门相关资料填写。）</w:t>
      </w:r>
    </w:p>
    <w:p>
      <w:pPr>
        <w:ind w:firstLine="643" w:firstLineChars="200"/>
        <w:rPr>
          <w:rFonts w:ascii="楷体" w:hAnsi="楷体" w:eastAsia="楷体" w:cs="楷体"/>
          <w:b/>
          <w:sz w:val="32"/>
          <w:szCs w:val="32"/>
        </w:rPr>
      </w:pPr>
      <w:r>
        <w:rPr>
          <w:rFonts w:hint="eastAsia" w:ascii="楷体" w:hAnsi="楷体" w:eastAsia="楷体" w:cs="楷体"/>
          <w:b/>
          <w:sz w:val="32"/>
          <w:szCs w:val="32"/>
        </w:rPr>
        <w:t>（三）国有资产占用情况。</w:t>
      </w:r>
      <w:bookmarkEnd w:id="107"/>
      <w:bookmarkEnd w:id="108"/>
      <w:bookmarkEnd w:id="109"/>
      <w:bookmarkEnd w:id="110"/>
      <w:bookmarkEnd w:id="111"/>
      <w:bookmarkEnd w:id="112"/>
    </w:p>
    <w:p>
      <w:pPr>
        <w:spacing w:line="578" w:lineRule="exact"/>
        <w:ind w:firstLine="640" w:firstLineChars="200"/>
        <w:rPr>
          <w:rFonts w:ascii="仿宋" w:hAnsi="仿宋" w:eastAsia="仿宋"/>
          <w:sz w:val="32"/>
          <w:szCs w:val="32"/>
        </w:rPr>
      </w:pPr>
      <w:r>
        <w:rPr>
          <w:rFonts w:ascii="仿宋" w:hAnsi="仿宋" w:eastAsia="仿宋"/>
          <w:sz w:val="32"/>
          <w:szCs w:val="32"/>
        </w:rPr>
        <w:t>截至 2020 年 12 月31 日，我单位房屋账面面积 403.00 平方米，账面价值 53.24 万元， 其中办公用房面积 200.00 平方米，占房屋的49.63 ；业务用房面积0.00平方米，占0.00%； 其他用房面积 203.00 平方米，占 50.37%。</w:t>
      </w:r>
    </w:p>
    <w:p>
      <w:pPr>
        <w:ind w:firstLine="640" w:firstLineChars="200"/>
        <w:rPr>
          <w:rFonts w:ascii="仿宋" w:hAnsi="仿宋" w:eastAsia="仿宋" w:cs="仿宋"/>
          <w:sz w:val="32"/>
          <w:szCs w:val="32"/>
        </w:rPr>
      </w:pPr>
      <w:r>
        <w:rPr>
          <w:rFonts w:hint="eastAsia" w:ascii="仿宋" w:hAnsi="仿宋" w:eastAsia="仿宋" w:cs="仿宋"/>
          <w:sz w:val="32"/>
          <w:szCs w:val="32"/>
        </w:rPr>
        <w:t>本单位共有车辆17辆，</w:t>
      </w:r>
      <w:r>
        <w:rPr>
          <w:rFonts w:ascii="仿宋" w:hAnsi="仿宋" w:eastAsia="仿宋"/>
          <w:sz w:val="32"/>
          <w:szCs w:val="32"/>
        </w:rPr>
        <w:t>账面原值 138.86 万元，账面净值 84.95 万元</w:t>
      </w:r>
      <w:r>
        <w:rPr>
          <w:rFonts w:hint="eastAsia" w:ascii="仿宋" w:hAnsi="仿宋" w:eastAsia="仿宋"/>
          <w:sz w:val="32"/>
          <w:szCs w:val="32"/>
        </w:rPr>
        <w:t>.</w:t>
      </w:r>
      <w:r>
        <w:rPr>
          <w:rFonts w:hint="eastAsia" w:ascii="仿宋" w:hAnsi="仿宋" w:eastAsia="仿宋" w:cs="仿宋"/>
          <w:sz w:val="32"/>
          <w:szCs w:val="32"/>
        </w:rPr>
        <w:t>其中：从车辆种类说明：轿车0辆、越野车0辆、小型载客汽车0辆、大中型载客汽车0辆、其他用车17辆，其他用车主要是园林绿化养护车及环卫垃圾运行车等；从车辆使用情况说明：副部（省）级及以上领导用车0辆、主要领导干部用车0辆、机要通信用车0辆、应急保障用车0辆、执法执勤用车0辆、特种专业技术用车1辆、离退休干部用车0辆、其他用车16辆。</w:t>
      </w:r>
    </w:p>
    <w:p>
      <w:pPr>
        <w:ind w:firstLine="640" w:firstLineChars="200"/>
        <w:rPr>
          <w:rFonts w:ascii="仿宋_GB2312" w:hAnsi="ˎ̥" w:eastAsia="仿宋_GB2312"/>
          <w:sz w:val="32"/>
          <w:szCs w:val="32"/>
        </w:rPr>
      </w:pPr>
      <w:r>
        <w:rPr>
          <w:rFonts w:hint="eastAsia" w:ascii="仿宋" w:hAnsi="仿宋" w:eastAsia="仿宋" w:cs="仿宋"/>
          <w:sz w:val="32"/>
          <w:szCs w:val="32"/>
        </w:rPr>
        <w:t>单位价值50万元（含）以上通用设备0台（套），单价100万元（含）以上专用设备0台（套）。</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年末在建工程</w:t>
      </w:r>
      <w:r>
        <w:rPr>
          <w:rFonts w:ascii="仿宋_GB2312" w:hAnsi="ˎ̥" w:eastAsia="仿宋_GB2312"/>
          <w:sz w:val="32"/>
          <w:szCs w:val="32"/>
        </w:rPr>
        <w:t>4047</w:t>
      </w:r>
      <w:r>
        <w:rPr>
          <w:rFonts w:hint="eastAsia" w:ascii="仿宋_GB2312" w:hAnsi="ˎ̥" w:eastAsia="仿宋_GB2312"/>
          <w:sz w:val="32"/>
          <w:szCs w:val="32"/>
        </w:rPr>
        <w:t>.</w:t>
      </w:r>
      <w:r>
        <w:rPr>
          <w:rFonts w:ascii="仿宋_GB2312" w:hAnsi="ˎ̥" w:eastAsia="仿宋_GB2312"/>
          <w:sz w:val="32"/>
          <w:szCs w:val="32"/>
        </w:rPr>
        <w:t>6</w:t>
      </w:r>
      <w:r>
        <w:rPr>
          <w:rFonts w:hint="eastAsia" w:ascii="仿宋_GB2312" w:hAnsi="ˎ̥" w:eastAsia="仿宋_GB2312"/>
          <w:sz w:val="32"/>
          <w:szCs w:val="32"/>
        </w:rPr>
        <w:t>5万元。</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（上述国有资产占用情况相关数字取自2020年度部门决算F01表《预算支出相关信息表》、F03表《机关运行信息表》。）</w:t>
      </w:r>
    </w:p>
    <w:p>
      <w:pPr>
        <w:spacing w:line="578" w:lineRule="exact"/>
        <w:ind w:firstLine="640" w:firstLineChars="200"/>
        <w:rPr>
          <w:rFonts w:ascii="仿宋_GB2312" w:hAnsi="ˎ̥" w:eastAsia="仿宋_GB2312"/>
          <w:sz w:val="32"/>
          <w:szCs w:val="32"/>
        </w:rPr>
      </w:pPr>
    </w:p>
    <w:p>
      <w:pPr>
        <w:jc w:val="center"/>
        <w:rPr>
          <w:rFonts w:ascii="黑体" w:hAnsi="ˎ̥" w:eastAsia="黑体"/>
          <w:sz w:val="32"/>
          <w:szCs w:val="32"/>
        </w:rPr>
      </w:pPr>
      <w:bookmarkStart w:id="113" w:name="_Toc17580_WPSOffice_Level1"/>
      <w:bookmarkStart w:id="114" w:name="_Toc8808_WPSOffice_Level1"/>
      <w:bookmarkStart w:id="115" w:name="_Toc15425_WPSOffice_Level1"/>
      <w:bookmarkStart w:id="116" w:name="_Toc4398_WPSOffice_Level1"/>
      <w:bookmarkStart w:id="117" w:name="_Toc8874_WPSOffice_Level1"/>
      <w:bookmarkStart w:id="118" w:name="_Toc11039_WPSOffice_Level1"/>
      <w:r>
        <w:rPr>
          <w:rFonts w:hint="eastAsia" w:ascii="黑体" w:hAnsi="ˎ̥" w:eastAsia="黑体"/>
          <w:sz w:val="32"/>
          <w:szCs w:val="32"/>
        </w:rPr>
        <w:t>第四部分  名词解释</w:t>
      </w:r>
      <w:bookmarkEnd w:id="113"/>
      <w:bookmarkEnd w:id="114"/>
      <w:bookmarkEnd w:id="115"/>
      <w:bookmarkEnd w:id="116"/>
      <w:bookmarkEnd w:id="117"/>
      <w:bookmarkEnd w:id="118"/>
    </w:p>
    <w:p>
      <w:pPr>
        <w:jc w:val="center"/>
        <w:rPr>
          <w:rFonts w:ascii="黑体" w:hAnsi="ˎ̥" w:eastAsia="黑体"/>
          <w:sz w:val="32"/>
          <w:szCs w:val="32"/>
        </w:rPr>
      </w:pPr>
    </w:p>
    <w:p>
      <w:pPr>
        <w:ind w:firstLine="640" w:firstLineChars="200"/>
        <w:rPr>
          <w:rFonts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w:t>
      </w:r>
      <w:bookmarkStart w:id="119" w:name="_GoBack"/>
      <w:bookmarkEnd w:id="119"/>
      <w:r>
        <w:rPr>
          <w:rFonts w:hint="eastAsia" w:ascii="仿宋_GB2312" w:hAnsi="ˎ̥" w:eastAsia="仿宋_GB2312"/>
          <w:sz w:val="32"/>
          <w:szCs w:val="32"/>
        </w:rPr>
        <w:t>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hAnsi="ˎ̥" w:eastAsia="仿宋_GB2312"/>
          <w:sz w:val="32"/>
          <w:szCs w:val="32"/>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ascii="仿宋_GB2312" w:hAnsi="ˎ̥" w:eastAsia="仿宋_GB2312"/>
          <w:sz w:val="32"/>
          <w:szCs w:val="32"/>
        </w:rPr>
      </w:pPr>
      <w:r>
        <w:rPr>
          <w:rFonts w:hint="eastAsia" w:ascii="仿宋_GB2312" w:hAnsi="ˎ̥" w:eastAsia="仿宋_GB2312"/>
          <w:sz w:val="32"/>
          <w:szCs w:val="32"/>
        </w:rPr>
        <w:t>十四、（支出功能分类的名词解释，各部门（单位）根据实际支出情况填列，可参阅财政部印发的《2019年政府收支分类科目》）</w:t>
      </w:r>
    </w:p>
    <w:p>
      <w:pPr>
        <w:rPr>
          <w:rFonts w:ascii="仿宋_GB2312" w:hAnsi="ˎ̥" w:eastAsia="仿宋_GB2312"/>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9CAC1"/>
    <w:multiLevelType w:val="singleLevel"/>
    <w:tmpl w:val="A739CAC1"/>
    <w:lvl w:ilvl="0" w:tentative="0">
      <w:start w:val="1"/>
      <w:numFmt w:val="chineseCounting"/>
      <w:suff w:val="nothing"/>
      <w:lvlText w:val="%1、"/>
      <w:lvlJc w:val="left"/>
      <w:rPr>
        <w:rFonts w:hint="eastAsia"/>
      </w:rPr>
    </w:lvl>
  </w:abstractNum>
  <w:abstractNum w:abstractNumId="1">
    <w:nsid w:val="5BD55EBF"/>
    <w:multiLevelType w:val="singleLevel"/>
    <w:tmpl w:val="5BD55EBF"/>
    <w:lvl w:ilvl="0" w:tentative="0">
      <w:start w:val="3"/>
      <w:numFmt w:val="chineseCounting"/>
      <w:suff w:val="nothing"/>
      <w:lvlText w:val="（%1）"/>
      <w:lvlJc w:val="left"/>
      <w:rPr>
        <w:rFonts w:hint="eastAsia"/>
      </w:rPr>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E4ODdjZDNmMzRhNjcxMzdlMmNjNzM4MmNhNzg2MTUifQ=="/>
  </w:docVars>
  <w:rsids>
    <w:rsidRoot w:val="00172A27"/>
    <w:rsid w:val="00006B8A"/>
    <w:rsid w:val="00014BC8"/>
    <w:rsid w:val="000274E6"/>
    <w:rsid w:val="00040D54"/>
    <w:rsid w:val="000621DA"/>
    <w:rsid w:val="00073E8E"/>
    <w:rsid w:val="00081B0F"/>
    <w:rsid w:val="000A0A3C"/>
    <w:rsid w:val="001012AC"/>
    <w:rsid w:val="00112E40"/>
    <w:rsid w:val="00152C9E"/>
    <w:rsid w:val="00172A27"/>
    <w:rsid w:val="001872BF"/>
    <w:rsid w:val="001A391B"/>
    <w:rsid w:val="001B5B7D"/>
    <w:rsid w:val="00247C4C"/>
    <w:rsid w:val="00257357"/>
    <w:rsid w:val="00274FA7"/>
    <w:rsid w:val="00334FF7"/>
    <w:rsid w:val="003635D6"/>
    <w:rsid w:val="0039286D"/>
    <w:rsid w:val="003E5BA0"/>
    <w:rsid w:val="004751A5"/>
    <w:rsid w:val="004F304A"/>
    <w:rsid w:val="00563585"/>
    <w:rsid w:val="005D079A"/>
    <w:rsid w:val="006D3859"/>
    <w:rsid w:val="007306E4"/>
    <w:rsid w:val="007A286F"/>
    <w:rsid w:val="007D7C7F"/>
    <w:rsid w:val="00821613"/>
    <w:rsid w:val="008A122D"/>
    <w:rsid w:val="00961BEC"/>
    <w:rsid w:val="009C6137"/>
    <w:rsid w:val="009D3C85"/>
    <w:rsid w:val="00A42C33"/>
    <w:rsid w:val="00AA1073"/>
    <w:rsid w:val="00AE05A5"/>
    <w:rsid w:val="00AF124B"/>
    <w:rsid w:val="00B17318"/>
    <w:rsid w:val="00B8256E"/>
    <w:rsid w:val="00BA5413"/>
    <w:rsid w:val="00BC6418"/>
    <w:rsid w:val="00C24A78"/>
    <w:rsid w:val="00D50B39"/>
    <w:rsid w:val="00D53415"/>
    <w:rsid w:val="00D8496D"/>
    <w:rsid w:val="00DD1553"/>
    <w:rsid w:val="00E23942"/>
    <w:rsid w:val="00E43777"/>
    <w:rsid w:val="00EB101C"/>
    <w:rsid w:val="00EB44E0"/>
    <w:rsid w:val="00ED4D2C"/>
    <w:rsid w:val="00EE03FC"/>
    <w:rsid w:val="00EF3805"/>
    <w:rsid w:val="00F00551"/>
    <w:rsid w:val="00F41FA1"/>
    <w:rsid w:val="00F875B1"/>
    <w:rsid w:val="00FB2226"/>
    <w:rsid w:val="00FC756F"/>
    <w:rsid w:val="00FE43BF"/>
    <w:rsid w:val="00FF23E7"/>
    <w:rsid w:val="07BC27CF"/>
    <w:rsid w:val="086D5108"/>
    <w:rsid w:val="08C31B95"/>
    <w:rsid w:val="09573962"/>
    <w:rsid w:val="09793B17"/>
    <w:rsid w:val="09942142"/>
    <w:rsid w:val="09957BC4"/>
    <w:rsid w:val="0B1E453B"/>
    <w:rsid w:val="0B954742"/>
    <w:rsid w:val="0DF065CB"/>
    <w:rsid w:val="0EAF319C"/>
    <w:rsid w:val="0FE07C99"/>
    <w:rsid w:val="14C0309A"/>
    <w:rsid w:val="16471668"/>
    <w:rsid w:val="1ABE55EE"/>
    <w:rsid w:val="1BC16115"/>
    <w:rsid w:val="1CE164C1"/>
    <w:rsid w:val="1D5D23CF"/>
    <w:rsid w:val="1E596563"/>
    <w:rsid w:val="20005902"/>
    <w:rsid w:val="20780352"/>
    <w:rsid w:val="22AC15DF"/>
    <w:rsid w:val="235C69FF"/>
    <w:rsid w:val="23670883"/>
    <w:rsid w:val="273D63BB"/>
    <w:rsid w:val="277549C7"/>
    <w:rsid w:val="285A17C2"/>
    <w:rsid w:val="28A450B9"/>
    <w:rsid w:val="2B1B6DC7"/>
    <w:rsid w:val="2D54576D"/>
    <w:rsid w:val="2FC84969"/>
    <w:rsid w:val="30335940"/>
    <w:rsid w:val="30473F4E"/>
    <w:rsid w:val="339C35B9"/>
    <w:rsid w:val="350D15D2"/>
    <w:rsid w:val="37A96661"/>
    <w:rsid w:val="3833516E"/>
    <w:rsid w:val="390C3FD7"/>
    <w:rsid w:val="3EF94CDF"/>
    <w:rsid w:val="474F5661"/>
    <w:rsid w:val="48973EA7"/>
    <w:rsid w:val="49C2726A"/>
    <w:rsid w:val="49CA27F1"/>
    <w:rsid w:val="4A4C1CDB"/>
    <w:rsid w:val="4A7C4FC1"/>
    <w:rsid w:val="4A901391"/>
    <w:rsid w:val="4B041DB7"/>
    <w:rsid w:val="4E62297B"/>
    <w:rsid w:val="4E8B2AF5"/>
    <w:rsid w:val="505E307B"/>
    <w:rsid w:val="52906C00"/>
    <w:rsid w:val="52AC1DB3"/>
    <w:rsid w:val="550B6506"/>
    <w:rsid w:val="57C4513F"/>
    <w:rsid w:val="57E57FA3"/>
    <w:rsid w:val="585B238F"/>
    <w:rsid w:val="5A074243"/>
    <w:rsid w:val="5E9426B6"/>
    <w:rsid w:val="60661CB4"/>
    <w:rsid w:val="60C77918"/>
    <w:rsid w:val="610F691B"/>
    <w:rsid w:val="615B6DA1"/>
    <w:rsid w:val="61E57294"/>
    <w:rsid w:val="626C3DA6"/>
    <w:rsid w:val="62B21F81"/>
    <w:rsid w:val="637F5749"/>
    <w:rsid w:val="63C11A36"/>
    <w:rsid w:val="660C3071"/>
    <w:rsid w:val="66EB31E7"/>
    <w:rsid w:val="69046BA6"/>
    <w:rsid w:val="69C17975"/>
    <w:rsid w:val="69E114D4"/>
    <w:rsid w:val="6CEE5A98"/>
    <w:rsid w:val="70784693"/>
    <w:rsid w:val="711E3F19"/>
    <w:rsid w:val="741673A5"/>
    <w:rsid w:val="755B2727"/>
    <w:rsid w:val="75A51D92"/>
    <w:rsid w:val="75C17699"/>
    <w:rsid w:val="76275AAA"/>
    <w:rsid w:val="768A5887"/>
    <w:rsid w:val="78BB48A3"/>
    <w:rsid w:val="79003D12"/>
    <w:rsid w:val="7BD44AB5"/>
    <w:rsid w:val="7C770257"/>
    <w:rsid w:val="7E7F7F16"/>
    <w:rsid w:val="7F3B63BA"/>
    <w:rsid w:val="FECA1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5"/>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styleId="9">
    <w:name w:val="FollowedHyperlink"/>
    <w:basedOn w:val="7"/>
    <w:unhideWhenUsed/>
    <w:uiPriority w:val="99"/>
    <w:rPr>
      <w:color w:val="800080"/>
      <w:u w:val="single"/>
    </w:rPr>
  </w:style>
  <w:style w:type="paragraph" w:customStyle="1" w:styleId="10">
    <w:name w:val="p0"/>
    <w:basedOn w:val="1"/>
    <w:uiPriority w:val="0"/>
    <w:pPr>
      <w:widowControl/>
    </w:pPr>
    <w:rPr>
      <w:rFonts w:hAnsi="宋体" w:cs="宋体"/>
      <w:kern w:val="0"/>
      <w:szCs w:val="32"/>
    </w:rPr>
  </w:style>
  <w:style w:type="paragraph" w:customStyle="1" w:styleId="11">
    <w:name w:val="正文1 Char Char Char"/>
    <w:basedOn w:val="1"/>
    <w:uiPriority w:val="0"/>
    <w:pPr>
      <w:spacing w:line="360" w:lineRule="auto"/>
      <w:ind w:firstLine="200" w:firstLineChars="200"/>
    </w:pPr>
  </w:style>
  <w:style w:type="paragraph" w:customStyle="1" w:styleId="12">
    <w:name w:val="WPSOffice手动目录 1"/>
    <w:uiPriority w:val="0"/>
    <w:rPr>
      <w:rFonts w:ascii="Times New Roman" w:hAnsi="Times New Roman" w:eastAsia="宋体" w:cs="Times New Roman"/>
      <w:lang w:val="en-US" w:eastAsia="zh-CN" w:bidi="ar-SA"/>
    </w:rPr>
  </w:style>
  <w:style w:type="paragraph" w:customStyle="1" w:styleId="13">
    <w:name w:val="WPSOffice手动目录 2"/>
    <w:uiPriority w:val="0"/>
    <w:pPr>
      <w:ind w:left="200" w:leftChars="200"/>
    </w:pPr>
    <w:rPr>
      <w:rFonts w:ascii="Times New Roman" w:hAnsi="Times New Roman" w:eastAsia="宋体" w:cs="Times New Roman"/>
      <w:lang w:val="en-US" w:eastAsia="zh-CN" w:bidi="ar-SA"/>
    </w:rPr>
  </w:style>
  <w:style w:type="paragraph" w:customStyle="1" w:styleId="14">
    <w:name w:val="列出段落1"/>
    <w:basedOn w:val="1"/>
    <w:qFormat/>
    <w:uiPriority w:val="34"/>
    <w:pPr>
      <w:ind w:firstLine="420" w:firstLineChars="200"/>
    </w:pPr>
  </w:style>
  <w:style w:type="character" w:customStyle="1" w:styleId="15">
    <w:name w:val="页眉 Char"/>
    <w:basedOn w:val="7"/>
    <w:link w:val="4"/>
    <w:semiHidden/>
    <w:qFormat/>
    <w:uiPriority w:val="0"/>
    <w:rPr>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www.ftpdown.com</Company>
  <Pages>19</Pages>
  <Words>7855</Words>
  <Characters>8571</Characters>
  <Lines>71</Lines>
  <Paragraphs>20</Paragraphs>
  <TotalTime>38</TotalTime>
  <ScaleCrop>false</ScaleCrop>
  <LinksUpToDate>false</LinksUpToDate>
  <CharactersWithSpaces>8739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2022-09-06T01:00:00Z</dcterms:created>
  <dc:creator>陈斌</dc:creator>
  <cp:lastModifiedBy>zsw0905</cp:lastModifiedBy>
  <cp:lastPrinted>2022-09-05T09:26:00Z</cp:lastPrinted>
  <dcterms:modified xsi:type="dcterms:W3CDTF">2023-02-09T02:46:29Z</dcterms:modified>
  <dc:title>XXXX部门2013年度部门决算（参考模板）</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DA6D3A1A41E0465EA7325911BC1EDFC9</vt:lpwstr>
  </property>
</Properties>
</file>