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ascii="黑体" w:hAnsi="黑体" w:eastAsia="黑体" w:cs="宋体"/>
          <w:sz w:val="44"/>
          <w:szCs w:val="44"/>
        </w:rPr>
      </w:pPr>
    </w:p>
    <w:p>
      <w:pPr>
        <w:spacing w:line="580" w:lineRule="exact"/>
        <w:jc w:val="center"/>
        <w:rPr>
          <w:rFonts w:hint="eastAsia" w:ascii="黑体" w:hAnsi="黑体" w:eastAsia="黑体" w:cs="黑体"/>
          <w:color w:val="000000"/>
          <w:sz w:val="44"/>
          <w:szCs w:val="44"/>
        </w:rPr>
      </w:pPr>
      <w:r>
        <w:rPr>
          <w:rFonts w:hint="eastAsia" w:ascii="黑体" w:hAnsi="黑体" w:eastAsia="黑体" w:cs="黑体"/>
          <w:color w:val="000000"/>
          <w:sz w:val="44"/>
          <w:szCs w:val="44"/>
        </w:rPr>
        <w:t>关于201</w:t>
      </w:r>
      <w:r>
        <w:rPr>
          <w:rFonts w:hint="eastAsia" w:ascii="黑体" w:hAnsi="黑体" w:eastAsia="黑体" w:cs="黑体"/>
          <w:color w:val="000000"/>
          <w:sz w:val="44"/>
          <w:szCs w:val="44"/>
          <w:lang w:val="en-US" w:eastAsia="zh-CN"/>
        </w:rPr>
        <w:t>9</w:t>
      </w:r>
      <w:r>
        <w:rPr>
          <w:rFonts w:hint="eastAsia" w:ascii="黑体" w:hAnsi="黑体" w:eastAsia="黑体" w:cs="黑体"/>
          <w:color w:val="000000"/>
          <w:sz w:val="44"/>
          <w:szCs w:val="44"/>
        </w:rPr>
        <w:t>年海口市和市本级政府性基金</w:t>
      </w:r>
    </w:p>
    <w:p>
      <w:pPr>
        <w:spacing w:line="580" w:lineRule="exact"/>
        <w:jc w:val="center"/>
        <w:rPr>
          <w:rFonts w:ascii="黑体" w:hAnsi="黑体" w:eastAsia="黑体" w:cs="黑体"/>
          <w:color w:val="000000"/>
          <w:sz w:val="44"/>
          <w:szCs w:val="44"/>
        </w:rPr>
      </w:pPr>
      <w:r>
        <w:rPr>
          <w:rFonts w:hint="eastAsia" w:ascii="黑体" w:hAnsi="黑体" w:eastAsia="黑体" w:cs="黑体"/>
          <w:color w:val="000000"/>
          <w:sz w:val="44"/>
          <w:szCs w:val="44"/>
        </w:rPr>
        <w:t>预算调整方案（草案）的报告</w:t>
      </w:r>
    </w:p>
    <w:p>
      <w:pPr>
        <w:rPr>
          <w:rFonts w:hint="eastAsia" w:ascii="黑体" w:hAnsi="黑体" w:eastAsia="黑体" w:cs="黑体"/>
          <w:color w:val="000000"/>
          <w:spacing w:val="-20"/>
          <w:sz w:val="30"/>
          <w:szCs w:val="30"/>
        </w:rPr>
      </w:pPr>
      <w:r>
        <w:rPr>
          <w:rFonts w:hint="eastAsia" w:ascii="黑体" w:hAnsi="黑体" w:eastAsia="黑体" w:cs="黑体"/>
          <w:color w:val="000000"/>
          <w:spacing w:val="-20"/>
          <w:sz w:val="30"/>
          <w:szCs w:val="30"/>
          <w:lang w:val="en-US" w:eastAsia="zh-CN"/>
        </w:rPr>
        <w:t xml:space="preserve"> </w:t>
      </w:r>
    </w:p>
    <w:p>
      <w:pPr>
        <w:rPr>
          <w:rFonts w:ascii="黑体" w:hAnsi="黑体" w:eastAsia="黑体" w:cs="宋体"/>
          <w:szCs w:val="32"/>
        </w:rPr>
      </w:pP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主任、各位副主任、秘书长</w:t>
      </w:r>
      <w:r>
        <w:rPr>
          <w:rFonts w:hint="eastAsia" w:hAnsi="仿宋_GB2312" w:cs="仿宋_GB2312"/>
          <w:sz w:val="32"/>
          <w:szCs w:val="32"/>
          <w:lang w:eastAsia="zh-CN"/>
        </w:rPr>
        <w:t>、各位委员</w:t>
      </w:r>
      <w:r>
        <w:rPr>
          <w:rFonts w:hint="eastAsia" w:ascii="仿宋_GB2312" w:hAnsi="仿宋_GB2312" w:eastAsia="仿宋_GB2312" w:cs="仿宋_GB2312"/>
          <w:sz w:val="32"/>
          <w:szCs w:val="32"/>
        </w:rPr>
        <w:t>：</w:t>
      </w:r>
    </w:p>
    <w:p>
      <w:pPr>
        <w:jc w:val="left"/>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2019年海南省自主发行地方政府债券并转贷我市第二批专项债券42.1亿元，根据《中华人民共和国预算法》和国务院、财政部有关规定，地方政府债券收支实行预算管理，纳入本地区人民政府财政预算，须编制预算调整方案报市人大常委会审查批准。受市政府委托，现将2019年全市和市本级政府性基金预算调整方案（草案）报告如下。</w:t>
      </w:r>
    </w:p>
    <w:p>
      <w:pPr>
        <w:jc w:val="left"/>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一、新增地方政府债券安排原则和项目安排情况</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安排原则。2019年海南省发行地方政府债券并转贷我市第二批专项债券42.1亿元。根据《海南省财政厅关于2019年第二批新增政府债券项目申报有关问题的通知》（琼财预〔2019〕16号）要求，重点支持乡村振兴、生态环保、城镇基础设施和农村基础设施等重大公益性基础设施建设，严禁用于经常性项目支出、债务还本支出以及中央明令禁止的楼堂馆所项目支出设施建设项目以及在建项目、收尾项目建设。</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（二）项目安排情况。第二批新增专项债券42.1亿元，紧紧围绕着习</w:t>
      </w:r>
      <w:r>
        <w:rPr>
          <w:rFonts w:hint="eastAsia" w:hAnsi="仿宋_GB2312" w:cs="仿宋_GB2312"/>
          <w:sz w:val="32"/>
          <w:szCs w:val="32"/>
          <w:lang w:eastAsia="zh-CN"/>
        </w:rPr>
        <w:t>近平</w:t>
      </w:r>
      <w:r>
        <w:rPr>
          <w:rFonts w:hint="eastAsia" w:ascii="仿宋_GB2312" w:hAnsi="仿宋_GB2312" w:eastAsia="仿宋_GB2312" w:cs="仿宋_GB2312"/>
          <w:sz w:val="32"/>
          <w:szCs w:val="32"/>
        </w:rPr>
        <w:t>总书记“4·13”重要讲话精神和中央12号文件精神，根据省委</w:t>
      </w:r>
      <w:r>
        <w:rPr>
          <w:rFonts w:hint="eastAsia" w:hAnsi="仿宋_GB2312" w:cs="仿宋_GB2312"/>
          <w:sz w:val="32"/>
          <w:szCs w:val="32"/>
          <w:lang w:eastAsia="zh-CN"/>
        </w:rPr>
        <w:t>、</w:t>
      </w:r>
      <w:r>
        <w:rPr>
          <w:rFonts w:hint="eastAsia" w:ascii="仿宋_GB2312" w:hAnsi="仿宋_GB2312" w:eastAsia="仿宋_GB2312" w:cs="仿宋_GB2312"/>
          <w:sz w:val="32"/>
          <w:szCs w:val="32"/>
        </w:rPr>
        <w:t>省政府和市委</w:t>
      </w:r>
      <w:r>
        <w:rPr>
          <w:rFonts w:hint="eastAsia" w:hAnsi="仿宋_GB2312" w:cs="仿宋_GB2312"/>
          <w:sz w:val="32"/>
          <w:szCs w:val="32"/>
          <w:lang w:eastAsia="zh-CN"/>
        </w:rPr>
        <w:t>、</w:t>
      </w:r>
      <w:r>
        <w:rPr>
          <w:rFonts w:hint="eastAsia" w:ascii="仿宋_GB2312" w:hAnsi="仿宋_GB2312" w:eastAsia="仿宋_GB2312" w:cs="仿宋_GB2312"/>
          <w:sz w:val="32"/>
          <w:szCs w:val="32"/>
        </w:rPr>
        <w:t>市政府重点工作内容，专项债券用途分为两部分安排：</w:t>
      </w:r>
    </w:p>
    <w:p>
      <w:pPr>
        <w:jc w:val="left"/>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1.安排江东片区土地收储专项债券19.1亿元。</w:t>
      </w:r>
    </w:p>
    <w:p>
      <w:pPr>
        <w:jc w:val="left"/>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2.安排其他基础设施建设类债券23亿元。其中，安排4亿元用于江东片区基础设施项目；安排13亿元用于文明东越江通道项目；安排1亿元用于海南国际会展中心二期项目；安排2亿元用于海秀快速路（二期）；安排2亿元用于美兰机场二期扩建场外排水工程；安排1亿元用于美兰机场二期周边路网。</w:t>
      </w:r>
    </w:p>
    <w:p>
      <w:pPr>
        <w:jc w:val="left"/>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以上新增债券具体分配情况,详见2019年海口市和市本</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级政府性基金预算调整方案(草案)表三。</w:t>
      </w:r>
    </w:p>
    <w:p>
      <w:pPr>
        <w:jc w:val="left"/>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黑体" w:hAnsi="黑体" w:eastAsia="黑体" w:cs="黑体"/>
          <w:sz w:val="32"/>
          <w:szCs w:val="32"/>
        </w:rPr>
        <w:t>二、预算调整情况</w:t>
      </w:r>
    </w:p>
    <w:p>
      <w:pPr>
        <w:jc w:val="left"/>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新增债券额度42.1亿元，均为专项债券，纳入政府性基金预算管理。因此2019年海口市和市本级政府性基金预算收支相关科目需作相应调整,具体调整情况是:</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（一）全市政府性基金预算调整情况。调整后，全市政府性基金总收入3,509,450万元，增加421,000万元。其中：转移性收入840,750万元，增加421,000万元（省转贷专项债务收入增加421,000万元）。</w:t>
      </w:r>
    </w:p>
    <w:p>
      <w:pPr>
        <w:jc w:val="left"/>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全市政府性基金总支出3,509,450 万元，增加421,000万元。其中：地方政府性基金预算支出3,296,327万元，增加421,000万元（城乡社区事务支出增加421,000万元）。</w:t>
      </w:r>
    </w:p>
    <w:p>
      <w:pPr>
        <w:jc w:val="left"/>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以上收支预算具体调整情况,详见海口市和市本级政府</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性基金预算调整方案(草案)表一。</w:t>
      </w:r>
    </w:p>
    <w:p>
      <w:pPr>
        <w:jc w:val="left"/>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（二）市本级政府性基金预算调整情况。调整后，市本级政府性基金总收入3,480,543 万元，增加421,000万元。其中：转移性收入811,843 万元，增加421,000万元（省转贷专项债务收入增加421,000万元）。</w:t>
      </w:r>
    </w:p>
    <w:p>
      <w:pPr>
        <w:jc w:val="left"/>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 xml:space="preserve">市本级政府性基金总支出3,480,543万元，增加421,000万元。其中：地方政府性基金预算支出3,247,821万元，增加421,000万元（城乡社区事务支出增加421,000万元）。    </w:t>
      </w:r>
    </w:p>
    <w:p>
      <w:pPr>
        <w:jc w:val="left"/>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以上收支预算具体调整情况,详见2019年海口市和市本级政府性基金预算调整方案草案表二。</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hAnsi="仿宋_GB2312" w:cs="仿宋_GB2312"/>
          <w:sz w:val="32"/>
          <w:szCs w:val="32"/>
          <w:lang w:val="en-US" w:eastAsia="zh-CN"/>
        </w:rPr>
        <w:t xml:space="preserve">   </w:t>
      </w:r>
      <w:r>
        <w:rPr>
          <w:rFonts w:hint="eastAsia" w:ascii="黑体" w:hAnsi="黑体" w:eastAsia="黑体" w:cs="黑体"/>
          <w:sz w:val="32"/>
          <w:szCs w:val="32"/>
        </w:rPr>
        <w:t>三、下一步工作措施</w:t>
      </w:r>
    </w:p>
    <w:p>
      <w:pPr>
        <w:jc w:val="left"/>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（一）规范资金管理和使用。预算调整方案经市人大常委会批准后，我市将严格按照调整后的预算安排支出。同时，加强资金拨付的审核和绩效评价，提高资金管理的科学化、精细化水平。</w:t>
      </w:r>
    </w:p>
    <w:p>
      <w:pPr>
        <w:jc w:val="left"/>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二）积极推进项目进展。市发改委等有关部门根据资金的使用原则，加快重点项目的跟踪和推进工作，落实各项建设条件，确保项目在合法性前提下启动，市财政局做好资金保障工作，确保调整后的资金按要求拨付。</w:t>
      </w:r>
    </w:p>
    <w:p>
      <w:pPr>
        <w:jc w:val="left"/>
        <w:rPr>
          <w:rFonts w:hint="eastAsia" w:ascii="仿宋_GB2312" w:hAnsi="仿宋_GB2312" w:eastAsia="仿宋_GB2312" w:cs="仿宋_GB2312"/>
          <w:sz w:val="32"/>
          <w:szCs w:val="32"/>
        </w:rPr>
      </w:pPr>
      <w:r>
        <w:rPr>
          <w:rFonts w:hint="eastAsia" w:hAnsi="仿宋_GB2312" w:cs="仿宋_GB2312"/>
          <w:sz w:val="32"/>
          <w:szCs w:val="32"/>
          <w:lang w:val="en-US" w:eastAsia="zh-CN"/>
        </w:rPr>
        <w:t xml:space="preserve">   </w:t>
      </w:r>
      <w:r>
        <w:rPr>
          <w:rFonts w:hint="eastAsia" w:ascii="仿宋_GB2312" w:hAnsi="仿宋_GB2312" w:eastAsia="仿宋_GB2312" w:cs="仿宋_GB2312"/>
          <w:sz w:val="32"/>
          <w:szCs w:val="32"/>
        </w:rPr>
        <w:t xml:space="preserve">（三）确保新增债券按时还本付息。我市将按照“谁举债、谁偿还”的原则，统筹安排财力，及时向省财政厅上缴地方政府债券本息、发行费等资金，切实履行还款责任。 </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主任、各位副主任、秘书长</w:t>
      </w:r>
      <w:r>
        <w:rPr>
          <w:rFonts w:hint="eastAsia" w:hAnsi="仿宋_GB2312" w:cs="仿宋_GB2312"/>
          <w:sz w:val="32"/>
          <w:szCs w:val="32"/>
          <w:lang w:eastAsia="zh-CN"/>
        </w:rPr>
        <w:t>、各位委员</w:t>
      </w:r>
      <w:r>
        <w:rPr>
          <w:rFonts w:hint="eastAsia" w:ascii="仿宋_GB2312" w:hAnsi="仿宋_GB2312" w:eastAsia="仿宋_GB2312" w:cs="仿宋_GB2312"/>
          <w:sz w:val="32"/>
          <w:szCs w:val="32"/>
        </w:rPr>
        <w:t>，我们坚信，在市委、市政府的坚强领导和市人大常委会的监督指导下</w:t>
      </w:r>
      <w:r>
        <w:rPr>
          <w:rFonts w:hint="eastAsia" w:hAnsi="仿宋_GB2312" w:cs="仿宋_GB2312"/>
          <w:sz w:val="32"/>
          <w:szCs w:val="32"/>
          <w:lang w:eastAsia="zh-CN"/>
        </w:rPr>
        <w:t>，</w:t>
      </w:r>
      <w:r>
        <w:rPr>
          <w:rFonts w:hint="eastAsia" w:ascii="仿宋_GB2312" w:hAnsi="仿宋_GB2312" w:eastAsia="仿宋_GB2312" w:cs="仿宋_GB2312"/>
          <w:sz w:val="32"/>
          <w:szCs w:val="32"/>
        </w:rPr>
        <w:t>2019年地方政府预算一定会得到有效实施，我们</w:t>
      </w:r>
      <w:r>
        <w:rPr>
          <w:rFonts w:hint="eastAsia" w:hAnsi="仿宋_GB2312" w:cs="仿宋_GB2312"/>
          <w:sz w:val="32"/>
          <w:szCs w:val="32"/>
          <w:lang w:eastAsia="zh-CN"/>
        </w:rPr>
        <w:t>将切实</w:t>
      </w:r>
      <w:r>
        <w:rPr>
          <w:rFonts w:hint="eastAsia" w:ascii="仿宋_GB2312" w:hAnsi="仿宋_GB2312" w:eastAsia="仿宋_GB2312" w:cs="仿宋_GB2312"/>
          <w:sz w:val="32"/>
          <w:szCs w:val="32"/>
        </w:rPr>
        <w:t>扛起省会城市的责任担当，更好的服务</w:t>
      </w:r>
      <w:r>
        <w:rPr>
          <w:rFonts w:hint="eastAsia" w:hAnsi="仿宋_GB2312" w:cs="仿宋_GB2312"/>
          <w:sz w:val="32"/>
          <w:szCs w:val="32"/>
          <w:lang w:eastAsia="zh-CN"/>
        </w:rPr>
        <w:t>自由贸易试验区和中国特色自由贸易港</w:t>
      </w:r>
      <w:r>
        <w:rPr>
          <w:rFonts w:hint="eastAsia" w:ascii="仿宋_GB2312" w:hAnsi="仿宋_GB2312" w:eastAsia="仿宋_GB2312" w:cs="仿宋_GB2312"/>
          <w:sz w:val="32"/>
          <w:szCs w:val="32"/>
        </w:rPr>
        <w:t xml:space="preserve">建设，充分发挥财政资金使用效益，推动海口各项事业迈上新台阶！ </w:t>
      </w:r>
    </w:p>
    <w:p>
      <w:pPr>
        <w:jc w:val="left"/>
        <w:rPr>
          <w:rFonts w:hint="eastAsia"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hAnsi="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201</w:t>
      </w:r>
      <w:r>
        <w:rPr>
          <w:rFonts w:hint="eastAsia" w:hAnsi="仿宋_GB2312" w:cs="仿宋_GB2312"/>
          <w:sz w:val="32"/>
          <w:szCs w:val="32"/>
          <w:lang w:val="en-US" w:eastAsia="zh-CN"/>
        </w:rPr>
        <w:t>9</w:t>
      </w:r>
      <w:r>
        <w:rPr>
          <w:rFonts w:hint="eastAsia" w:ascii="仿宋_GB2312" w:hAnsi="仿宋_GB2312" w:eastAsia="仿宋_GB2312" w:cs="仿宋_GB2312"/>
          <w:sz w:val="32"/>
          <w:szCs w:val="32"/>
        </w:rPr>
        <w:t>年海口市和市本级预算调整方案（草案）</w:t>
      </w:r>
    </w:p>
    <w:p>
      <w:pPr>
        <w:jc w:val="left"/>
        <w:rPr>
          <w:rFonts w:hint="eastAsia" w:hAnsi="仿宋_GB2312" w:cs="仿宋_GB2312"/>
          <w:sz w:val="32"/>
          <w:szCs w:val="32"/>
          <w:lang w:val="en-US" w:eastAsia="zh-CN"/>
        </w:rPr>
      </w:pPr>
      <w:r>
        <w:rPr>
          <w:rFonts w:hint="eastAsia" w:hAnsi="仿宋_GB2312" w:cs="仿宋_GB2312"/>
          <w:sz w:val="32"/>
          <w:szCs w:val="32"/>
          <w:lang w:val="en-US" w:eastAsia="zh-CN"/>
        </w:rPr>
        <w:t xml:space="preserve">         </w:t>
      </w:r>
    </w:p>
    <w:p/>
    <w:p>
      <w:pPr>
        <w:spacing w:line="600" w:lineRule="exact"/>
        <w:jc w:val="center"/>
        <w:rPr>
          <w:rFonts w:hint="eastAsia" w:ascii="黑体" w:hAnsi="黑体" w:eastAsia="黑体" w:cs="黑体"/>
          <w:sz w:val="44"/>
          <w:szCs w:val="44"/>
        </w:rPr>
      </w:pPr>
    </w:p>
    <w:p>
      <w:pPr>
        <w:spacing w:line="600" w:lineRule="exact"/>
        <w:jc w:val="center"/>
        <w:rPr>
          <w:rFonts w:hint="eastAsia" w:ascii="黑体" w:hAnsi="黑体" w:eastAsia="黑体" w:cs="黑体"/>
          <w:sz w:val="44"/>
          <w:szCs w:val="44"/>
        </w:rPr>
      </w:pPr>
    </w:p>
    <w:p>
      <w:pPr>
        <w:spacing w:line="600" w:lineRule="exact"/>
        <w:jc w:val="both"/>
        <w:rPr>
          <w:rFonts w:hint="eastAsia" w:ascii="黑体" w:hAnsi="黑体" w:eastAsia="黑体" w:cs="黑体"/>
          <w:sz w:val="44"/>
          <w:szCs w:val="44"/>
        </w:rPr>
      </w:pPr>
    </w:p>
    <w:p>
      <w:pPr>
        <w:spacing w:line="600" w:lineRule="exact"/>
        <w:jc w:val="center"/>
        <w:rPr>
          <w:rFonts w:hint="eastAsia" w:ascii="黑体" w:hAnsi="黑体" w:eastAsia="黑体" w:cs="黑体"/>
          <w:sz w:val="44"/>
          <w:szCs w:val="44"/>
        </w:rPr>
      </w:pPr>
    </w:p>
    <w:p>
      <w:pPr>
        <w:spacing w:line="600" w:lineRule="exact"/>
        <w:jc w:val="both"/>
        <w:rPr>
          <w:rFonts w:hint="eastAsia" w:ascii="楷体_GB2312" w:eastAsia="楷体_GB2312"/>
          <w:sz w:val="28"/>
          <w:szCs w:val="28"/>
        </w:rPr>
      </w:pPr>
    </w:p>
    <w:p>
      <w:pPr>
        <w:spacing w:line="600" w:lineRule="exact"/>
        <w:jc w:val="both"/>
        <w:rPr>
          <w:rFonts w:hint="eastAsia" w:ascii="楷体_GB2312" w:eastAsia="楷体_GB2312"/>
          <w:sz w:val="28"/>
          <w:szCs w:val="28"/>
        </w:rPr>
      </w:pPr>
    </w:p>
    <w:p>
      <w:pPr>
        <w:spacing w:line="600" w:lineRule="exact"/>
        <w:jc w:val="both"/>
        <w:rPr>
          <w:rFonts w:hint="eastAsia" w:ascii="楷体_GB2312" w:eastAsia="楷体_GB2312"/>
          <w:sz w:val="28"/>
          <w:szCs w:val="28"/>
        </w:rPr>
      </w:pPr>
    </w:p>
    <w:p>
      <w:pPr>
        <w:rPr>
          <w:rFonts w:hint="eastAsia" w:hAnsi="仿宋_GB2312" w:cs="仿宋_GB2312"/>
          <w:szCs w:val="32"/>
        </w:rPr>
      </w:pPr>
      <w:r>
        <w:rPr>
          <w:rFonts w:hint="eastAsia" w:ascii="黑体" w:hAnsi="黑体" w:eastAsia="黑体" w:cs="黑体"/>
          <w:sz w:val="44"/>
          <w:szCs w:val="44"/>
          <w:lang w:val="en-US" w:eastAsia="zh-CN"/>
        </w:rPr>
        <w:t xml:space="preserve">            </w:t>
      </w:r>
    </w:p>
    <w:sectPr>
      <w:headerReference r:id="rId3" w:type="default"/>
      <w:footerReference r:id="rId4" w:type="default"/>
      <w:pgSz w:w="11906" w:h="16838"/>
      <w:pgMar w:top="1440" w:right="1797" w:bottom="1440" w:left="179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新宋体">
    <w:panose1 w:val="02010609030101010101"/>
    <w:charset w:val="86"/>
    <w:family w:val="decorative"/>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763"/>
        <w:tab w:val="clear" w:pos="4153"/>
      </w:tabs>
      <w:ind w:right="360" w:firstLine="360"/>
      <w:rPr>
        <w:rFonts w:hint="eastAsia" w:ascii="宋体" w:hAnsi="宋体"/>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47B3"/>
    <w:rsid w:val="00132997"/>
    <w:rsid w:val="00150573"/>
    <w:rsid w:val="00161891"/>
    <w:rsid w:val="00172A27"/>
    <w:rsid w:val="00290858"/>
    <w:rsid w:val="00296848"/>
    <w:rsid w:val="003D7B9B"/>
    <w:rsid w:val="006331B6"/>
    <w:rsid w:val="006558D5"/>
    <w:rsid w:val="00670738"/>
    <w:rsid w:val="006A5042"/>
    <w:rsid w:val="008B4B03"/>
    <w:rsid w:val="00912442"/>
    <w:rsid w:val="00973251"/>
    <w:rsid w:val="009843E2"/>
    <w:rsid w:val="00B716BF"/>
    <w:rsid w:val="00BC2980"/>
    <w:rsid w:val="00C20204"/>
    <w:rsid w:val="00C86A88"/>
    <w:rsid w:val="00D53EB6"/>
    <w:rsid w:val="00F51384"/>
    <w:rsid w:val="0135059D"/>
    <w:rsid w:val="01A55671"/>
    <w:rsid w:val="0220596A"/>
    <w:rsid w:val="02957532"/>
    <w:rsid w:val="035D3FE5"/>
    <w:rsid w:val="03E62320"/>
    <w:rsid w:val="043D01DD"/>
    <w:rsid w:val="0468096D"/>
    <w:rsid w:val="04B65658"/>
    <w:rsid w:val="056D5F9C"/>
    <w:rsid w:val="05E4126B"/>
    <w:rsid w:val="060C1921"/>
    <w:rsid w:val="063E79A1"/>
    <w:rsid w:val="07A3214E"/>
    <w:rsid w:val="08E14A86"/>
    <w:rsid w:val="09115A63"/>
    <w:rsid w:val="093079A7"/>
    <w:rsid w:val="09F30CFD"/>
    <w:rsid w:val="0A1513BB"/>
    <w:rsid w:val="0A1B3342"/>
    <w:rsid w:val="0AA64CC9"/>
    <w:rsid w:val="0B720752"/>
    <w:rsid w:val="0BE068B1"/>
    <w:rsid w:val="0BE63AD6"/>
    <w:rsid w:val="0C252105"/>
    <w:rsid w:val="0D595FA7"/>
    <w:rsid w:val="0D767627"/>
    <w:rsid w:val="0E2C0EAC"/>
    <w:rsid w:val="0E69262C"/>
    <w:rsid w:val="0F7E1563"/>
    <w:rsid w:val="10824AF5"/>
    <w:rsid w:val="10BE36B4"/>
    <w:rsid w:val="11D60838"/>
    <w:rsid w:val="122E7731"/>
    <w:rsid w:val="126B7DC8"/>
    <w:rsid w:val="1366468E"/>
    <w:rsid w:val="137D145B"/>
    <w:rsid w:val="14137910"/>
    <w:rsid w:val="14342EDC"/>
    <w:rsid w:val="14543FAF"/>
    <w:rsid w:val="14E74687"/>
    <w:rsid w:val="15325746"/>
    <w:rsid w:val="15CA602F"/>
    <w:rsid w:val="163D5E95"/>
    <w:rsid w:val="169A6DB9"/>
    <w:rsid w:val="17052526"/>
    <w:rsid w:val="17541AD3"/>
    <w:rsid w:val="17C92AA1"/>
    <w:rsid w:val="17C97D4B"/>
    <w:rsid w:val="17D21150"/>
    <w:rsid w:val="18B24B16"/>
    <w:rsid w:val="18E10B04"/>
    <w:rsid w:val="198238DD"/>
    <w:rsid w:val="19883A13"/>
    <w:rsid w:val="1A530AAC"/>
    <w:rsid w:val="1A5C2B4B"/>
    <w:rsid w:val="1AD05DE2"/>
    <w:rsid w:val="1AD44C38"/>
    <w:rsid w:val="1BAA2099"/>
    <w:rsid w:val="1BBF2DAE"/>
    <w:rsid w:val="1C7226F2"/>
    <w:rsid w:val="1C91266D"/>
    <w:rsid w:val="1CA77B30"/>
    <w:rsid w:val="1CB5509C"/>
    <w:rsid w:val="1D224477"/>
    <w:rsid w:val="1D821526"/>
    <w:rsid w:val="1D9263D7"/>
    <w:rsid w:val="1E1F1D18"/>
    <w:rsid w:val="1E6303C0"/>
    <w:rsid w:val="1EBA4E19"/>
    <w:rsid w:val="1EDF78C2"/>
    <w:rsid w:val="201F73B2"/>
    <w:rsid w:val="20611C2A"/>
    <w:rsid w:val="21757545"/>
    <w:rsid w:val="224F02E8"/>
    <w:rsid w:val="22B97EA0"/>
    <w:rsid w:val="233515FD"/>
    <w:rsid w:val="23D04C9E"/>
    <w:rsid w:val="24835D11"/>
    <w:rsid w:val="2506304C"/>
    <w:rsid w:val="2508766E"/>
    <w:rsid w:val="25143095"/>
    <w:rsid w:val="25386E6A"/>
    <w:rsid w:val="25502DC5"/>
    <w:rsid w:val="258A22D9"/>
    <w:rsid w:val="26920C3C"/>
    <w:rsid w:val="2695093D"/>
    <w:rsid w:val="26993B75"/>
    <w:rsid w:val="270C036B"/>
    <w:rsid w:val="270C3077"/>
    <w:rsid w:val="271C039A"/>
    <w:rsid w:val="27D3440A"/>
    <w:rsid w:val="27E94FE2"/>
    <w:rsid w:val="27FE725C"/>
    <w:rsid w:val="28DB23EE"/>
    <w:rsid w:val="28FA0A7A"/>
    <w:rsid w:val="29C630F0"/>
    <w:rsid w:val="29E2772F"/>
    <w:rsid w:val="2A4E1725"/>
    <w:rsid w:val="2A5250DC"/>
    <w:rsid w:val="2A6675EA"/>
    <w:rsid w:val="2A9649AB"/>
    <w:rsid w:val="2C6439F4"/>
    <w:rsid w:val="2CCC49AA"/>
    <w:rsid w:val="2EA30673"/>
    <w:rsid w:val="2EBD7BE1"/>
    <w:rsid w:val="2F252A0E"/>
    <w:rsid w:val="2FD33EFC"/>
    <w:rsid w:val="2FFB237B"/>
    <w:rsid w:val="310E360D"/>
    <w:rsid w:val="31450332"/>
    <w:rsid w:val="32140D3F"/>
    <w:rsid w:val="322144CD"/>
    <w:rsid w:val="349803FC"/>
    <w:rsid w:val="35030495"/>
    <w:rsid w:val="35F02F6F"/>
    <w:rsid w:val="36422E04"/>
    <w:rsid w:val="364C4400"/>
    <w:rsid w:val="367560BF"/>
    <w:rsid w:val="37282096"/>
    <w:rsid w:val="37A0246B"/>
    <w:rsid w:val="384F1E01"/>
    <w:rsid w:val="39046AEC"/>
    <w:rsid w:val="39134FF3"/>
    <w:rsid w:val="39EC5CE6"/>
    <w:rsid w:val="3AA5235A"/>
    <w:rsid w:val="3ACD4636"/>
    <w:rsid w:val="3B447372"/>
    <w:rsid w:val="3B7C3B30"/>
    <w:rsid w:val="3BE233C7"/>
    <w:rsid w:val="3CAE285B"/>
    <w:rsid w:val="3D0D0DB2"/>
    <w:rsid w:val="3D1D68DD"/>
    <w:rsid w:val="3D343DAB"/>
    <w:rsid w:val="3E0823F6"/>
    <w:rsid w:val="3E3805E1"/>
    <w:rsid w:val="3E5C3185"/>
    <w:rsid w:val="3F0A3112"/>
    <w:rsid w:val="3F0E35C9"/>
    <w:rsid w:val="3F357602"/>
    <w:rsid w:val="3F9819D6"/>
    <w:rsid w:val="400D056D"/>
    <w:rsid w:val="403C2D58"/>
    <w:rsid w:val="41837DFA"/>
    <w:rsid w:val="41BB0404"/>
    <w:rsid w:val="42503705"/>
    <w:rsid w:val="42B35180"/>
    <w:rsid w:val="42FA0ADC"/>
    <w:rsid w:val="43217E6C"/>
    <w:rsid w:val="432430F8"/>
    <w:rsid w:val="44896727"/>
    <w:rsid w:val="457E5C66"/>
    <w:rsid w:val="45BB13AF"/>
    <w:rsid w:val="45BE6E7F"/>
    <w:rsid w:val="45E118F2"/>
    <w:rsid w:val="46142025"/>
    <w:rsid w:val="4625745F"/>
    <w:rsid w:val="468F2939"/>
    <w:rsid w:val="46B67B25"/>
    <w:rsid w:val="47CA22D5"/>
    <w:rsid w:val="47F62016"/>
    <w:rsid w:val="48372D0A"/>
    <w:rsid w:val="489E1C20"/>
    <w:rsid w:val="48E74FA6"/>
    <w:rsid w:val="49040772"/>
    <w:rsid w:val="490606E6"/>
    <w:rsid w:val="490E6B48"/>
    <w:rsid w:val="49520CC9"/>
    <w:rsid w:val="495C76F9"/>
    <w:rsid w:val="49B30427"/>
    <w:rsid w:val="4A0E5F48"/>
    <w:rsid w:val="4A0E65AC"/>
    <w:rsid w:val="4A107F98"/>
    <w:rsid w:val="4A1C0BE2"/>
    <w:rsid w:val="4B112A2D"/>
    <w:rsid w:val="4BA15BF7"/>
    <w:rsid w:val="4BF54CC4"/>
    <w:rsid w:val="4C585357"/>
    <w:rsid w:val="4C644F05"/>
    <w:rsid w:val="4D252667"/>
    <w:rsid w:val="4D4E0DFE"/>
    <w:rsid w:val="4D8E2F37"/>
    <w:rsid w:val="4DB324BA"/>
    <w:rsid w:val="4E0F6CCD"/>
    <w:rsid w:val="4E606D60"/>
    <w:rsid w:val="4E625491"/>
    <w:rsid w:val="4EBF1CAF"/>
    <w:rsid w:val="4F736327"/>
    <w:rsid w:val="4F963CE3"/>
    <w:rsid w:val="4FA7028B"/>
    <w:rsid w:val="500F2AE9"/>
    <w:rsid w:val="50AA2A01"/>
    <w:rsid w:val="50F96546"/>
    <w:rsid w:val="51564890"/>
    <w:rsid w:val="51906035"/>
    <w:rsid w:val="51ED3E6E"/>
    <w:rsid w:val="532A21DD"/>
    <w:rsid w:val="53A05FB0"/>
    <w:rsid w:val="546818C8"/>
    <w:rsid w:val="54AA7E99"/>
    <w:rsid w:val="54AE1E11"/>
    <w:rsid w:val="55005314"/>
    <w:rsid w:val="55102B8C"/>
    <w:rsid w:val="55335333"/>
    <w:rsid w:val="55460C7C"/>
    <w:rsid w:val="554A6FB4"/>
    <w:rsid w:val="55A806FA"/>
    <w:rsid w:val="55D25E2E"/>
    <w:rsid w:val="562D278D"/>
    <w:rsid w:val="56CC0639"/>
    <w:rsid w:val="57E12437"/>
    <w:rsid w:val="57F34A8A"/>
    <w:rsid w:val="589557F8"/>
    <w:rsid w:val="58BC41E0"/>
    <w:rsid w:val="58E55832"/>
    <w:rsid w:val="58F33B9B"/>
    <w:rsid w:val="58F44FF3"/>
    <w:rsid w:val="59C50443"/>
    <w:rsid w:val="5A7F6DF8"/>
    <w:rsid w:val="5B1352BE"/>
    <w:rsid w:val="5B414F5E"/>
    <w:rsid w:val="5BE13B01"/>
    <w:rsid w:val="5BF93EEA"/>
    <w:rsid w:val="5D203F44"/>
    <w:rsid w:val="5D321096"/>
    <w:rsid w:val="5D990AD1"/>
    <w:rsid w:val="5E287DF2"/>
    <w:rsid w:val="5E2D165F"/>
    <w:rsid w:val="5EA535DF"/>
    <w:rsid w:val="5EFF0471"/>
    <w:rsid w:val="5F54612F"/>
    <w:rsid w:val="5F9B5154"/>
    <w:rsid w:val="5FA20C7D"/>
    <w:rsid w:val="622C3F5E"/>
    <w:rsid w:val="62E004F1"/>
    <w:rsid w:val="63B66B57"/>
    <w:rsid w:val="63DF6AD9"/>
    <w:rsid w:val="64131D2C"/>
    <w:rsid w:val="641F7E99"/>
    <w:rsid w:val="642750B2"/>
    <w:rsid w:val="649502BB"/>
    <w:rsid w:val="64B84139"/>
    <w:rsid w:val="65505123"/>
    <w:rsid w:val="65CD7C78"/>
    <w:rsid w:val="65D55D31"/>
    <w:rsid w:val="65D8428B"/>
    <w:rsid w:val="65FA3135"/>
    <w:rsid w:val="66055D36"/>
    <w:rsid w:val="66245AE1"/>
    <w:rsid w:val="6654330D"/>
    <w:rsid w:val="67941806"/>
    <w:rsid w:val="680068A7"/>
    <w:rsid w:val="6808208B"/>
    <w:rsid w:val="68716669"/>
    <w:rsid w:val="688503AB"/>
    <w:rsid w:val="68A0387C"/>
    <w:rsid w:val="68F979B9"/>
    <w:rsid w:val="692C03B8"/>
    <w:rsid w:val="693E5C76"/>
    <w:rsid w:val="69500CCF"/>
    <w:rsid w:val="69695E92"/>
    <w:rsid w:val="6A1A394A"/>
    <w:rsid w:val="6A6A3147"/>
    <w:rsid w:val="6A764BED"/>
    <w:rsid w:val="6A8A5248"/>
    <w:rsid w:val="6AEB6CD9"/>
    <w:rsid w:val="6AF967C2"/>
    <w:rsid w:val="6B0B272E"/>
    <w:rsid w:val="6D130CD5"/>
    <w:rsid w:val="6D590893"/>
    <w:rsid w:val="6D5E1C5B"/>
    <w:rsid w:val="6DE23BD7"/>
    <w:rsid w:val="6E124DAB"/>
    <w:rsid w:val="6EFF0DA5"/>
    <w:rsid w:val="6F0F5E45"/>
    <w:rsid w:val="6F9F6A98"/>
    <w:rsid w:val="70207509"/>
    <w:rsid w:val="71975C84"/>
    <w:rsid w:val="721A3005"/>
    <w:rsid w:val="724E786F"/>
    <w:rsid w:val="727C5917"/>
    <w:rsid w:val="72BC5352"/>
    <w:rsid w:val="734D1B99"/>
    <w:rsid w:val="750A2893"/>
    <w:rsid w:val="75217C05"/>
    <w:rsid w:val="75DB2A91"/>
    <w:rsid w:val="76B55CD8"/>
    <w:rsid w:val="76DB18B3"/>
    <w:rsid w:val="76F337D7"/>
    <w:rsid w:val="77CB1D9B"/>
    <w:rsid w:val="78A21C66"/>
    <w:rsid w:val="79280957"/>
    <w:rsid w:val="79946858"/>
    <w:rsid w:val="79C8198F"/>
    <w:rsid w:val="7A71444C"/>
    <w:rsid w:val="7A7F66DF"/>
    <w:rsid w:val="7ABE4829"/>
    <w:rsid w:val="7AD01479"/>
    <w:rsid w:val="7B543D76"/>
    <w:rsid w:val="7BE5023E"/>
    <w:rsid w:val="7CB352AC"/>
    <w:rsid w:val="7CBB7504"/>
    <w:rsid w:val="7D290FDF"/>
    <w:rsid w:val="7E226C3F"/>
    <w:rsid w:val="7E7A5269"/>
    <w:rsid w:val="7E982F9A"/>
    <w:rsid w:val="7EF436D2"/>
    <w:rsid w:val="7F2073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新宋体" w:eastAsia="仿宋_GB2312" w:cstheme="minorBidi"/>
      <w:kern w:val="2"/>
      <w:sz w:val="32"/>
      <w:szCs w:val="24"/>
      <w:lang w:val="en-US" w:eastAsia="zh-CN" w:bidi="ar-SA"/>
    </w:rPr>
  </w:style>
  <w:style w:type="character" w:default="1" w:styleId="6">
    <w:name w:val="Default Paragraph Font"/>
    <w:link w:val="7"/>
    <w:unhideWhenUsed/>
    <w:qFormat/>
    <w:uiPriority w:val="1"/>
    <w:rPr>
      <w:rFonts w:ascii="仿宋_GB2312" w:eastAsia="仿宋_GB2312"/>
      <w:sz w:val="32"/>
      <w:szCs w:val="32"/>
    </w:rPr>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 Char Char Char Char Char Char Char Char Char Char"/>
    <w:basedOn w:val="2"/>
    <w:link w:val="6"/>
    <w:qFormat/>
    <w:uiPriority w:val="0"/>
    <w:pPr>
      <w:adjustRightInd w:val="0"/>
      <w:snapToGrid w:val="0"/>
      <w:spacing w:line="360" w:lineRule="auto"/>
    </w:pPr>
    <w:rPr>
      <w:szCs w:val="20"/>
    </w:rPr>
  </w:style>
  <w:style w:type="character" w:styleId="8">
    <w:name w:val="page number"/>
    <w:basedOn w:val="6"/>
    <w:qFormat/>
    <w:uiPriority w:val="0"/>
  </w:style>
  <w:style w:type="paragraph" w:customStyle="1" w:styleId="9">
    <w:name w:val="Char Char Char Char"/>
    <w:basedOn w:val="1"/>
    <w:link w:val="6"/>
    <w:qFormat/>
    <w:uiPriority w:val="0"/>
    <w:rPr>
      <w:rFonts w:ascii="仿宋_GB2312" w:eastAsia="仿宋_GB2312"/>
      <w:sz w:val="32"/>
      <w:szCs w:val="32"/>
    </w:rPr>
  </w:style>
  <w:style w:type="paragraph" w:customStyle="1" w:styleId="10">
    <w:name w:val="列出段落1"/>
    <w:basedOn w:val="1"/>
    <w:unhideWhenUsed/>
    <w:qFormat/>
    <w:uiPriority w:val="99"/>
    <w:pPr>
      <w:ind w:firstLine="420" w:firstLineChars="200"/>
    </w:pPr>
  </w:style>
  <w:style w:type="paragraph" w:customStyle="1" w:styleId="11">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483</Words>
  <Characters>2759</Characters>
  <Lines>22</Lines>
  <Paragraphs>6</Paragraphs>
  <TotalTime>5</TotalTime>
  <ScaleCrop>false</ScaleCrop>
  <LinksUpToDate>false</LinksUpToDate>
  <CharactersWithSpaces>3236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2016-11-10T08:38:00Z</dcterms:created>
  <dc:creator>姜桢</dc:creator>
  <cp:lastModifiedBy>lenovo</cp:lastModifiedBy>
  <cp:lastPrinted>2019-08-13T01:16:00Z</cp:lastPrinted>
  <dcterms:modified xsi:type="dcterms:W3CDTF">2019-09-19T01:26:27Z</dcterms:modified>
  <dc:title>海口市财政局</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