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rPr>
      </w:pPr>
      <w:r>
        <w:rPr>
          <w:rFonts w:hint="eastAsia" w:ascii="宋体" w:hAnsi="宋体" w:eastAsia="宋体" w:cs="宋体"/>
          <w:b/>
          <w:bCs/>
          <w:color w:val="000000"/>
          <w:sz w:val="44"/>
          <w:szCs w:val="44"/>
        </w:rPr>
        <w:t>项目支出绩效评价指标体系框架</w:t>
      </w:r>
    </w:p>
    <w:p>
      <w:pPr>
        <w:pStyle w:val="2"/>
        <w:spacing w:before="0" w:after="0" w:line="530" w:lineRule="exact"/>
        <w:jc w:val="center"/>
        <w:rPr>
          <w:rFonts w:hint="eastAsia"/>
          <w:bCs/>
          <w:color w:val="000000"/>
        </w:rPr>
      </w:pPr>
    </w:p>
    <w:tbl>
      <w:tblPr>
        <w:tblStyle w:val="3"/>
        <w:tblW w:w="11221" w:type="dxa"/>
        <w:jc w:val="center"/>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718"/>
        <w:gridCol w:w="675"/>
        <w:gridCol w:w="1503"/>
        <w:gridCol w:w="2055"/>
        <w:gridCol w:w="4875"/>
        <w:gridCol w:w="139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20" w:hRule="atLeast"/>
          <w:tblHeader/>
          <w:jc w:val="center"/>
        </w:trPr>
        <w:tc>
          <w:tcPr>
            <w:tcW w:w="718" w:type="dxa"/>
            <w:shd w:val="clear" w:color="auto" w:fill="FFFFFF"/>
            <w:noWrap w:val="0"/>
            <w:vAlign w:val="center"/>
          </w:tcPr>
          <w:p>
            <w:pPr>
              <w:widowControl/>
              <w:spacing w:line="240" w:lineRule="exact"/>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一级指标</w:t>
            </w:r>
          </w:p>
        </w:tc>
        <w:tc>
          <w:tcPr>
            <w:tcW w:w="675" w:type="dxa"/>
            <w:shd w:val="clear" w:color="auto" w:fill="FFFFFF"/>
            <w:noWrap w:val="0"/>
            <w:vAlign w:val="center"/>
          </w:tcPr>
          <w:p>
            <w:pPr>
              <w:widowControl/>
              <w:spacing w:line="240" w:lineRule="exact"/>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二级指标</w:t>
            </w:r>
          </w:p>
        </w:tc>
        <w:tc>
          <w:tcPr>
            <w:tcW w:w="1503" w:type="dxa"/>
            <w:shd w:val="clear" w:color="auto" w:fill="FFFFFF"/>
            <w:noWrap w:val="0"/>
            <w:vAlign w:val="center"/>
          </w:tcPr>
          <w:p>
            <w:pPr>
              <w:widowControl/>
              <w:spacing w:line="240" w:lineRule="exact"/>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三级指标</w:t>
            </w:r>
          </w:p>
        </w:tc>
        <w:tc>
          <w:tcPr>
            <w:tcW w:w="2055" w:type="dxa"/>
            <w:shd w:val="clear" w:color="auto" w:fill="FFFFFF"/>
            <w:noWrap w:val="0"/>
            <w:vAlign w:val="center"/>
          </w:tcPr>
          <w:p>
            <w:pPr>
              <w:widowControl/>
              <w:spacing w:line="240" w:lineRule="exact"/>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指标解释</w:t>
            </w:r>
          </w:p>
        </w:tc>
        <w:tc>
          <w:tcPr>
            <w:tcW w:w="4875" w:type="dxa"/>
            <w:shd w:val="clear" w:color="auto" w:fill="FFFFFF"/>
            <w:noWrap w:val="0"/>
            <w:vAlign w:val="center"/>
          </w:tcPr>
          <w:p>
            <w:pPr>
              <w:widowControl/>
              <w:spacing w:line="240" w:lineRule="exact"/>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指标说明</w:t>
            </w:r>
          </w:p>
        </w:tc>
        <w:tc>
          <w:tcPr>
            <w:tcW w:w="1395" w:type="dxa"/>
            <w:shd w:val="clear" w:color="auto" w:fill="FFFFFF"/>
            <w:noWrap w:val="0"/>
            <w:vAlign w:val="center"/>
          </w:tcPr>
          <w:p>
            <w:pPr>
              <w:widowControl/>
              <w:spacing w:line="240" w:lineRule="exact"/>
              <w:jc w:val="center"/>
              <w:rPr>
                <w:rFonts w:hint="eastAsia" w:ascii="宋体" w:hAnsi="宋体" w:eastAsia="宋体" w:cs="宋体"/>
                <w:b/>
                <w:bCs/>
                <w:color w:val="000000"/>
                <w:kern w:val="0"/>
                <w:sz w:val="20"/>
                <w:szCs w:val="20"/>
                <w:lang w:eastAsia="zh-CN"/>
              </w:rPr>
            </w:pPr>
            <w:r>
              <w:rPr>
                <w:rFonts w:hint="eastAsia" w:ascii="宋体" w:hAnsi="宋体" w:eastAsia="宋体" w:cs="宋体"/>
                <w:b/>
                <w:bCs/>
                <w:color w:val="000000"/>
                <w:kern w:val="0"/>
                <w:sz w:val="20"/>
                <w:szCs w:val="20"/>
                <w:lang w:eastAsia="zh-CN"/>
              </w:rPr>
              <w:t>得分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20" w:hRule="atLeast"/>
          <w:jc w:val="center"/>
        </w:trPr>
        <w:tc>
          <w:tcPr>
            <w:tcW w:w="718" w:type="dxa"/>
            <w:vMerge w:val="restart"/>
            <w:shd w:val="clear" w:color="auto" w:fill="FFFFFF"/>
            <w:noWrap w:val="0"/>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决策　</w:t>
            </w:r>
          </w:p>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p>
            <w:pPr>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75" w:type="dxa"/>
            <w:vMerge w:val="restart"/>
            <w:shd w:val="clear" w:color="auto" w:fill="FFFFFF"/>
            <w:noWrap w:val="0"/>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项目立项　</w:t>
            </w:r>
          </w:p>
        </w:tc>
        <w:tc>
          <w:tcPr>
            <w:tcW w:w="1503" w:type="dxa"/>
            <w:shd w:val="clear" w:color="auto" w:fill="FFFFFF"/>
            <w:noWrap w:val="0"/>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立项依据</w:t>
            </w:r>
          </w:p>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充分性</w:t>
            </w:r>
          </w:p>
        </w:tc>
        <w:tc>
          <w:tcPr>
            <w:tcW w:w="2055" w:type="dxa"/>
            <w:shd w:val="clear" w:color="auto" w:fill="FFFFFF"/>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项目立项是否符合法律法规、相关政策、发展规划以及部门职责，用以反映和考核项目立项依据情况。</w:t>
            </w:r>
          </w:p>
        </w:tc>
        <w:tc>
          <w:tcPr>
            <w:tcW w:w="4875" w:type="dxa"/>
            <w:shd w:val="clear" w:color="auto" w:fill="FFFFFF"/>
            <w:noWrap w:val="0"/>
            <w:vAlign w:val="center"/>
          </w:tcPr>
          <w:p>
            <w:pPr>
              <w:widowControl/>
              <w:spacing w:line="240" w:lineRule="exact"/>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评价要点：</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①项目立项是否符合国家法律法规、国民经济发展规划和相关政策；</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②项目立项是否符合行业发展规划和政策要求；</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③项目立项是否与部门职责范围相符，属于部门履职所需；</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④项目是否属于公共财政支持范围，是否符合中央、地方事权支出责任划分原则；</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⑤项目是否与相关部门同类项目或部门内部相关项目重复。</w:t>
            </w:r>
          </w:p>
        </w:tc>
        <w:tc>
          <w:tcPr>
            <w:tcW w:w="1395" w:type="dxa"/>
            <w:shd w:val="clear" w:color="auto" w:fill="FFFFFF"/>
            <w:noWrap w:val="0"/>
            <w:vAlign w:val="center"/>
          </w:tcPr>
          <w:p>
            <w:pPr>
              <w:widowControl/>
              <w:spacing w:line="240" w:lineRule="exact"/>
              <w:jc w:val="left"/>
              <w:rPr>
                <w:rFonts w:hint="eastAsia" w:ascii="宋体" w:hAnsi="宋体" w:eastAsia="宋体" w:cs="宋体"/>
                <w:color w:val="000000"/>
                <w:kern w:val="0"/>
                <w:sz w:val="30"/>
                <w:szCs w:val="30"/>
                <w:lang w:val="en-US" w:eastAsia="zh-CN"/>
              </w:rPr>
            </w:pPr>
            <w:r>
              <w:rPr>
                <w:rFonts w:hint="eastAsia" w:ascii="宋体" w:hAnsi="宋体" w:eastAsia="宋体" w:cs="宋体"/>
                <w:color w:val="000000"/>
                <w:kern w:val="0"/>
                <w:sz w:val="30"/>
                <w:szCs w:val="30"/>
                <w:lang w:val="en-US" w:eastAsia="zh-CN"/>
              </w:rPr>
              <w:t>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1495" w:hRule="atLeast"/>
          <w:jc w:val="center"/>
        </w:trPr>
        <w:tc>
          <w:tcPr>
            <w:tcW w:w="718" w:type="dxa"/>
            <w:vMerge w:val="continue"/>
            <w:shd w:val="clear" w:color="auto" w:fill="FFFFFF"/>
            <w:noWrap w:val="0"/>
            <w:vAlign w:val="center"/>
          </w:tcPr>
          <w:p>
            <w:pPr>
              <w:spacing w:line="240" w:lineRule="exact"/>
              <w:jc w:val="center"/>
              <w:rPr>
                <w:rFonts w:ascii="宋体" w:hAnsi="宋体" w:eastAsia="宋体" w:cs="宋体"/>
                <w:color w:val="000000"/>
                <w:kern w:val="0"/>
                <w:sz w:val="20"/>
                <w:szCs w:val="20"/>
              </w:rPr>
            </w:pPr>
          </w:p>
        </w:tc>
        <w:tc>
          <w:tcPr>
            <w:tcW w:w="675" w:type="dxa"/>
            <w:vMerge w:val="continue"/>
            <w:shd w:val="clear" w:color="auto" w:fill="FFFFFF"/>
            <w:noWrap w:val="0"/>
            <w:vAlign w:val="center"/>
          </w:tcPr>
          <w:p>
            <w:pPr>
              <w:widowControl/>
              <w:spacing w:line="240" w:lineRule="exact"/>
              <w:jc w:val="center"/>
              <w:rPr>
                <w:rFonts w:ascii="宋体" w:hAnsi="宋体" w:eastAsia="宋体" w:cs="宋体"/>
                <w:color w:val="000000"/>
                <w:kern w:val="0"/>
                <w:sz w:val="20"/>
                <w:szCs w:val="20"/>
              </w:rPr>
            </w:pPr>
          </w:p>
        </w:tc>
        <w:tc>
          <w:tcPr>
            <w:tcW w:w="1503" w:type="dxa"/>
            <w:shd w:val="clear" w:color="auto" w:fill="FFFFFF"/>
            <w:noWrap w:val="0"/>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立项程序</w:t>
            </w:r>
          </w:p>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规范性</w:t>
            </w:r>
          </w:p>
        </w:tc>
        <w:tc>
          <w:tcPr>
            <w:tcW w:w="2055" w:type="dxa"/>
            <w:shd w:val="clear" w:color="auto" w:fill="FFFFFF"/>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项目申请、设立过程是否符合相关要求，用以反映和考核项目立项的规范情况。</w:t>
            </w:r>
          </w:p>
        </w:tc>
        <w:tc>
          <w:tcPr>
            <w:tcW w:w="4875" w:type="dxa"/>
            <w:shd w:val="clear" w:color="auto" w:fill="FFFFFF"/>
            <w:noWrap w:val="0"/>
            <w:vAlign w:val="center"/>
          </w:tcPr>
          <w:p>
            <w:pPr>
              <w:widowControl/>
              <w:spacing w:line="240" w:lineRule="exact"/>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评价要点：</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①项目是否按照规定的程序申请设立；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②审批文件、材料是否符合相关要求；</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③事前是否已经过必要的可行性研究、专家论证、风险评估、绩效评估、集体决策。</w:t>
            </w:r>
          </w:p>
        </w:tc>
        <w:tc>
          <w:tcPr>
            <w:tcW w:w="1395" w:type="dxa"/>
            <w:shd w:val="clear" w:color="auto" w:fill="FFFFFF"/>
            <w:noWrap w:val="0"/>
            <w:vAlign w:val="center"/>
          </w:tcPr>
          <w:p>
            <w:pPr>
              <w:widowControl/>
              <w:spacing w:line="240" w:lineRule="exact"/>
              <w:jc w:val="left"/>
              <w:rPr>
                <w:rFonts w:hint="eastAsia" w:ascii="宋体" w:hAnsi="宋体" w:eastAsia="宋体" w:cs="宋体"/>
                <w:color w:val="000000"/>
                <w:kern w:val="0"/>
                <w:sz w:val="30"/>
                <w:szCs w:val="30"/>
                <w:lang w:val="en-US" w:eastAsia="zh-CN"/>
              </w:rPr>
            </w:pPr>
            <w:r>
              <w:rPr>
                <w:rFonts w:hint="eastAsia" w:ascii="宋体" w:hAnsi="宋体" w:eastAsia="宋体" w:cs="宋体"/>
                <w:color w:val="000000"/>
                <w:kern w:val="0"/>
                <w:sz w:val="30"/>
                <w:szCs w:val="30"/>
                <w:lang w:val="en-US" w:eastAsia="zh-CN"/>
              </w:rPr>
              <w:t>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2245" w:hRule="atLeast"/>
          <w:jc w:val="center"/>
        </w:trPr>
        <w:tc>
          <w:tcPr>
            <w:tcW w:w="718" w:type="dxa"/>
            <w:vMerge w:val="continue"/>
            <w:shd w:val="clear" w:color="auto" w:fill="FFFFFF"/>
            <w:noWrap w:val="0"/>
            <w:vAlign w:val="center"/>
          </w:tcPr>
          <w:p>
            <w:pPr>
              <w:spacing w:line="240" w:lineRule="exact"/>
              <w:jc w:val="center"/>
              <w:rPr>
                <w:rFonts w:ascii="宋体" w:hAnsi="宋体" w:eastAsia="宋体" w:cs="宋体"/>
                <w:color w:val="000000"/>
                <w:kern w:val="0"/>
                <w:sz w:val="20"/>
                <w:szCs w:val="20"/>
              </w:rPr>
            </w:pPr>
          </w:p>
        </w:tc>
        <w:tc>
          <w:tcPr>
            <w:tcW w:w="675" w:type="dxa"/>
            <w:shd w:val="clear" w:color="auto" w:fill="FFFFFF"/>
            <w:noWrap w:val="0"/>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绩效目标　</w:t>
            </w:r>
          </w:p>
        </w:tc>
        <w:tc>
          <w:tcPr>
            <w:tcW w:w="1503" w:type="dxa"/>
            <w:shd w:val="clear" w:color="auto" w:fill="FFFFFF"/>
            <w:noWrap w:val="0"/>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绩效目标</w:t>
            </w:r>
          </w:p>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合理性</w:t>
            </w:r>
          </w:p>
        </w:tc>
        <w:tc>
          <w:tcPr>
            <w:tcW w:w="2055" w:type="dxa"/>
            <w:shd w:val="clear" w:color="000000" w:fill="FFFFFF"/>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项目所设定的绩效目标是否依据充分，是否符合客观实际，用以反映和考核项目绩效目标与项目实施的相符情况。</w:t>
            </w:r>
          </w:p>
        </w:tc>
        <w:tc>
          <w:tcPr>
            <w:tcW w:w="4875" w:type="dxa"/>
            <w:shd w:val="clear" w:color="000000" w:fill="FFFFFF"/>
            <w:noWrap w:val="0"/>
            <w:vAlign w:val="center"/>
          </w:tcPr>
          <w:p>
            <w:pPr>
              <w:widowControl/>
              <w:spacing w:line="240" w:lineRule="exact"/>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评价要点：</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（如未设定预算绩效目标，也可考核其他工作任务目标）</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①项目是否有绩效目标；</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②项目绩效目标与实际工作内容是否具有相关性；</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③项目预期产出效益和效果是否符合正常的业绩水平；</w:t>
            </w:r>
          </w:p>
          <w:p>
            <w:pPr>
              <w:widowControl/>
              <w:spacing w:line="240" w:lineRule="exact"/>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④是否与预算确定的项目投资额或资金量相匹配。</w:t>
            </w:r>
          </w:p>
        </w:tc>
        <w:tc>
          <w:tcPr>
            <w:tcW w:w="1395" w:type="dxa"/>
            <w:shd w:val="clear" w:color="000000" w:fill="FFFFFF"/>
            <w:noWrap w:val="0"/>
            <w:vAlign w:val="center"/>
          </w:tcPr>
          <w:p>
            <w:pPr>
              <w:widowControl/>
              <w:spacing w:line="240" w:lineRule="exact"/>
              <w:jc w:val="lef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30"/>
                <w:szCs w:val="30"/>
                <w:lang w:val="en-US" w:eastAsia="zh-CN"/>
              </w:rPr>
              <w:t>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1645" w:hRule="atLeast"/>
          <w:jc w:val="center"/>
        </w:trPr>
        <w:tc>
          <w:tcPr>
            <w:tcW w:w="718" w:type="dxa"/>
            <w:vMerge w:val="restart"/>
            <w:shd w:val="clear" w:color="auto" w:fill="FFFFFF"/>
            <w:noWrap w:val="0"/>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决策　</w:t>
            </w:r>
          </w:p>
        </w:tc>
        <w:tc>
          <w:tcPr>
            <w:tcW w:w="675" w:type="dxa"/>
            <w:shd w:val="clear" w:color="auto" w:fill="FFFFFF"/>
            <w:noWrap w:val="0"/>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绩效目标</w:t>
            </w:r>
          </w:p>
        </w:tc>
        <w:tc>
          <w:tcPr>
            <w:tcW w:w="1503" w:type="dxa"/>
            <w:shd w:val="clear" w:color="auto" w:fill="FFFFFF"/>
            <w:noWrap w:val="0"/>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绩效指标</w:t>
            </w:r>
          </w:p>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明确性</w:t>
            </w:r>
          </w:p>
        </w:tc>
        <w:tc>
          <w:tcPr>
            <w:tcW w:w="2055" w:type="dxa"/>
            <w:shd w:val="clear" w:color="000000" w:fill="FFFFFF"/>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依据绩效目标设定的绩效指标是否清晰、细化、可衡量等，用以反映和考核项目绩效目标的明细化情况。</w:t>
            </w:r>
          </w:p>
        </w:tc>
        <w:tc>
          <w:tcPr>
            <w:tcW w:w="4875" w:type="dxa"/>
            <w:shd w:val="clear" w:color="000000" w:fill="FFFFFF"/>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评价要点：</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①是否将项目绩效目标细化分解为具体的绩效指标；</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②是否通过清晰、可衡量的指标值予以体现；</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③是否与项目目标任务数或计划数相对应。</w:t>
            </w:r>
            <w:r>
              <w:rPr>
                <w:rFonts w:hint="eastAsia" w:ascii="宋体" w:hAnsi="宋体" w:eastAsia="宋体" w:cs="宋体"/>
                <w:color w:val="000000"/>
                <w:kern w:val="0"/>
                <w:sz w:val="20"/>
                <w:szCs w:val="20"/>
              </w:rPr>
              <w:br w:type="textWrapping"/>
            </w:r>
          </w:p>
        </w:tc>
        <w:tc>
          <w:tcPr>
            <w:tcW w:w="1395" w:type="dxa"/>
            <w:shd w:val="clear" w:color="000000" w:fill="FFFFFF"/>
            <w:noWrap w:val="0"/>
            <w:vAlign w:val="center"/>
          </w:tcPr>
          <w:p>
            <w:pPr>
              <w:widowControl/>
              <w:spacing w:line="240" w:lineRule="exact"/>
              <w:rPr>
                <w:rFonts w:hint="default" w:ascii="宋体" w:hAnsi="宋体" w:eastAsia="宋体" w:cs="宋体"/>
                <w:color w:val="000000"/>
                <w:kern w:val="0"/>
                <w:sz w:val="30"/>
                <w:szCs w:val="30"/>
                <w:lang w:val="en-US" w:eastAsia="zh-CN"/>
              </w:rPr>
            </w:pPr>
            <w:r>
              <w:rPr>
                <w:rFonts w:hint="eastAsia" w:ascii="宋体" w:hAnsi="宋体" w:eastAsia="宋体" w:cs="宋体"/>
                <w:color w:val="000000"/>
                <w:kern w:val="0"/>
                <w:sz w:val="30"/>
                <w:szCs w:val="30"/>
                <w:lang w:val="en-US" w:eastAsia="zh-CN"/>
              </w:rPr>
              <w:t>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1795" w:hRule="atLeast"/>
          <w:jc w:val="center"/>
        </w:trPr>
        <w:tc>
          <w:tcPr>
            <w:tcW w:w="718" w:type="dxa"/>
            <w:vMerge w:val="continue"/>
            <w:shd w:val="clear" w:color="auto" w:fill="FFFFFF"/>
            <w:noWrap w:val="0"/>
            <w:vAlign w:val="center"/>
          </w:tcPr>
          <w:p>
            <w:pPr>
              <w:spacing w:line="240" w:lineRule="exact"/>
              <w:jc w:val="center"/>
              <w:rPr>
                <w:rFonts w:ascii="宋体" w:hAnsi="宋体" w:eastAsia="宋体" w:cs="宋体"/>
                <w:color w:val="000000"/>
                <w:kern w:val="0"/>
                <w:sz w:val="20"/>
                <w:szCs w:val="20"/>
              </w:rPr>
            </w:pPr>
          </w:p>
        </w:tc>
        <w:tc>
          <w:tcPr>
            <w:tcW w:w="675" w:type="dxa"/>
            <w:vMerge w:val="restart"/>
            <w:shd w:val="clear" w:color="auto" w:fill="FFFFFF"/>
            <w:noWrap w:val="0"/>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资金投入</w:t>
            </w:r>
          </w:p>
          <w:p>
            <w:pPr>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503" w:type="dxa"/>
            <w:shd w:val="clear" w:color="auto" w:fill="FFFFFF"/>
            <w:noWrap w:val="0"/>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预算编制</w:t>
            </w:r>
          </w:p>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科学性</w:t>
            </w:r>
          </w:p>
        </w:tc>
        <w:tc>
          <w:tcPr>
            <w:tcW w:w="2055" w:type="dxa"/>
            <w:shd w:val="clear" w:color="auto" w:fill="FFFFFF"/>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项目预算编制是否经过科学论证、有明确标准，资金额度与年度目标是否相适应，用以反映和考核项目预算编制的科学性、合理性情况。</w:t>
            </w:r>
          </w:p>
        </w:tc>
        <w:tc>
          <w:tcPr>
            <w:tcW w:w="4875" w:type="dxa"/>
            <w:shd w:val="clear" w:color="auto" w:fill="FFFFFF"/>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评价要点：</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①预算编制是否经过科学论证；</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②预算内容与项目内容是否匹配；</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③预算额度测算依据是否充分，是否按照标准编制；</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④预算确定的项目投资额或资金量是否与工作任务相匹配。</w:t>
            </w:r>
          </w:p>
        </w:tc>
        <w:tc>
          <w:tcPr>
            <w:tcW w:w="1395" w:type="dxa"/>
            <w:shd w:val="clear" w:color="auto" w:fill="FFFFFF"/>
            <w:noWrap w:val="0"/>
            <w:vAlign w:val="center"/>
          </w:tcPr>
          <w:p>
            <w:pPr>
              <w:widowControl/>
              <w:spacing w:line="240" w:lineRule="exact"/>
              <w:rPr>
                <w:rFonts w:hint="default" w:ascii="宋体" w:hAnsi="宋体" w:eastAsia="宋体" w:cs="宋体"/>
                <w:color w:val="000000"/>
                <w:kern w:val="0"/>
                <w:sz w:val="30"/>
                <w:szCs w:val="30"/>
                <w:lang w:val="en-US" w:eastAsia="zh-CN"/>
              </w:rPr>
            </w:pPr>
            <w:r>
              <w:rPr>
                <w:rFonts w:hint="eastAsia" w:ascii="宋体" w:hAnsi="宋体" w:eastAsia="宋体" w:cs="宋体"/>
                <w:color w:val="000000"/>
                <w:kern w:val="0"/>
                <w:sz w:val="30"/>
                <w:szCs w:val="30"/>
                <w:lang w:val="en-US" w:eastAsia="zh-CN"/>
              </w:rPr>
              <w:t>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20" w:hRule="atLeast"/>
          <w:jc w:val="center"/>
        </w:trPr>
        <w:tc>
          <w:tcPr>
            <w:tcW w:w="718" w:type="dxa"/>
            <w:vMerge w:val="continue"/>
            <w:shd w:val="clear" w:color="auto" w:fill="FFFFFF"/>
            <w:noWrap w:val="0"/>
            <w:vAlign w:val="center"/>
          </w:tcPr>
          <w:p>
            <w:pPr>
              <w:widowControl/>
              <w:spacing w:line="240" w:lineRule="exact"/>
              <w:jc w:val="center"/>
              <w:rPr>
                <w:rFonts w:ascii="宋体" w:hAnsi="宋体" w:eastAsia="宋体" w:cs="宋体"/>
                <w:color w:val="000000"/>
                <w:kern w:val="0"/>
                <w:sz w:val="20"/>
                <w:szCs w:val="20"/>
              </w:rPr>
            </w:pPr>
          </w:p>
        </w:tc>
        <w:tc>
          <w:tcPr>
            <w:tcW w:w="675" w:type="dxa"/>
            <w:vMerge w:val="continue"/>
            <w:shd w:val="clear" w:color="auto" w:fill="FFFFFF"/>
            <w:noWrap w:val="0"/>
            <w:vAlign w:val="center"/>
          </w:tcPr>
          <w:p>
            <w:pPr>
              <w:widowControl/>
              <w:spacing w:line="240" w:lineRule="exact"/>
              <w:jc w:val="center"/>
              <w:rPr>
                <w:rFonts w:ascii="宋体" w:hAnsi="宋体" w:eastAsia="宋体" w:cs="宋体"/>
                <w:color w:val="000000"/>
                <w:kern w:val="0"/>
                <w:sz w:val="20"/>
                <w:szCs w:val="20"/>
              </w:rPr>
            </w:pPr>
          </w:p>
        </w:tc>
        <w:tc>
          <w:tcPr>
            <w:tcW w:w="1503" w:type="dxa"/>
            <w:shd w:val="clear" w:color="auto" w:fill="FFFFFF"/>
            <w:noWrap w:val="0"/>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资金分配</w:t>
            </w:r>
          </w:p>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合理性</w:t>
            </w:r>
          </w:p>
        </w:tc>
        <w:tc>
          <w:tcPr>
            <w:tcW w:w="2055" w:type="dxa"/>
            <w:shd w:val="clear" w:color="auto" w:fill="FFFFFF"/>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项目预算资金分配是否有测算依据，与补助单位或地方实际是否相适应，用以反映和考核项目预算资金分配的科学性、合理性情况。</w:t>
            </w:r>
          </w:p>
        </w:tc>
        <w:tc>
          <w:tcPr>
            <w:tcW w:w="4875" w:type="dxa"/>
            <w:shd w:val="clear" w:color="auto" w:fill="FFFFFF"/>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评价要点：</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①预算资金分配依据是否充分；</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②资金分配额度是否合理，与项目单位或地方实际是否相适应。</w:t>
            </w:r>
          </w:p>
        </w:tc>
        <w:tc>
          <w:tcPr>
            <w:tcW w:w="1395" w:type="dxa"/>
            <w:shd w:val="clear" w:color="auto" w:fill="FFFFFF"/>
            <w:noWrap w:val="0"/>
            <w:vAlign w:val="center"/>
          </w:tcPr>
          <w:p>
            <w:pPr>
              <w:widowControl/>
              <w:spacing w:line="240" w:lineRule="exact"/>
              <w:rPr>
                <w:rFonts w:hint="eastAsia" w:ascii="宋体" w:hAnsi="宋体" w:eastAsia="宋体" w:cs="宋体"/>
                <w:color w:val="000000"/>
                <w:kern w:val="0"/>
                <w:sz w:val="30"/>
                <w:szCs w:val="30"/>
                <w:lang w:val="en-US" w:eastAsia="zh-CN"/>
              </w:rPr>
            </w:pPr>
            <w:r>
              <w:rPr>
                <w:rFonts w:hint="eastAsia" w:ascii="宋体" w:hAnsi="宋体" w:eastAsia="宋体" w:cs="宋体"/>
                <w:color w:val="000000"/>
                <w:kern w:val="0"/>
                <w:sz w:val="30"/>
                <w:szCs w:val="30"/>
                <w:lang w:val="en-US" w:eastAsia="zh-CN"/>
              </w:rPr>
              <w:t>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1420" w:hRule="atLeast"/>
          <w:jc w:val="center"/>
        </w:trPr>
        <w:tc>
          <w:tcPr>
            <w:tcW w:w="718" w:type="dxa"/>
            <w:vMerge w:val="restart"/>
            <w:shd w:val="clear" w:color="auto" w:fill="FFFFFF"/>
            <w:noWrap w:val="0"/>
            <w:vAlign w:val="center"/>
          </w:tcPr>
          <w:p>
            <w:pPr>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过程</w:t>
            </w:r>
          </w:p>
        </w:tc>
        <w:tc>
          <w:tcPr>
            <w:tcW w:w="675" w:type="dxa"/>
            <w:vMerge w:val="restart"/>
            <w:shd w:val="clear" w:color="auto" w:fill="FFFFFF"/>
            <w:noWrap w:val="0"/>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资金管理</w:t>
            </w:r>
          </w:p>
        </w:tc>
        <w:tc>
          <w:tcPr>
            <w:tcW w:w="1503" w:type="dxa"/>
            <w:shd w:val="clear" w:color="auto" w:fill="FFFFFF"/>
            <w:noWrap w:val="0"/>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资金到位率</w:t>
            </w:r>
          </w:p>
        </w:tc>
        <w:tc>
          <w:tcPr>
            <w:tcW w:w="2055" w:type="dxa"/>
            <w:shd w:val="clear" w:color="000000" w:fill="FFFFFF"/>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实际到位资金与预算资金的比率，用以反映和考核资金落实情况对项目实施的总体保障程度。</w:t>
            </w:r>
          </w:p>
        </w:tc>
        <w:tc>
          <w:tcPr>
            <w:tcW w:w="4875" w:type="dxa"/>
            <w:shd w:val="clear" w:color="000000" w:fill="FFFFFF"/>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资金到位率=（实际到位资金/预算资金）×100%。</w:t>
            </w:r>
          </w:p>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实际到位资金：一定时期（本年度或项目期）内落实到具体项目的资金。</w:t>
            </w:r>
          </w:p>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预算资金：一定时期（本年度或项目期）内预算安排到具体项目的资金。</w:t>
            </w:r>
          </w:p>
        </w:tc>
        <w:tc>
          <w:tcPr>
            <w:tcW w:w="1395" w:type="dxa"/>
            <w:shd w:val="clear" w:color="000000" w:fill="FFFFFF"/>
            <w:noWrap w:val="0"/>
            <w:vAlign w:val="center"/>
          </w:tcPr>
          <w:p>
            <w:pPr>
              <w:widowControl/>
              <w:spacing w:line="240" w:lineRule="exact"/>
              <w:rPr>
                <w:rFonts w:hint="default" w:ascii="宋体" w:hAnsi="宋体" w:eastAsia="宋体" w:cs="宋体"/>
                <w:color w:val="000000"/>
                <w:kern w:val="0"/>
                <w:sz w:val="30"/>
                <w:szCs w:val="30"/>
                <w:lang w:val="en-US" w:eastAsia="zh-CN"/>
              </w:rPr>
            </w:pPr>
            <w:r>
              <w:rPr>
                <w:rFonts w:hint="eastAsia" w:ascii="宋体" w:hAnsi="宋体" w:eastAsia="宋体" w:cs="宋体"/>
                <w:color w:val="000000"/>
                <w:kern w:val="0"/>
                <w:sz w:val="30"/>
                <w:szCs w:val="30"/>
                <w:lang w:val="en-US" w:eastAsia="zh-CN"/>
              </w:rPr>
              <w:t>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1225" w:hRule="atLeast"/>
          <w:jc w:val="center"/>
        </w:trPr>
        <w:tc>
          <w:tcPr>
            <w:tcW w:w="718" w:type="dxa"/>
            <w:vMerge w:val="continue"/>
            <w:shd w:val="clear" w:color="auto" w:fill="FFFFFF"/>
            <w:noWrap w:val="0"/>
            <w:vAlign w:val="center"/>
          </w:tcPr>
          <w:p>
            <w:pPr>
              <w:spacing w:line="240" w:lineRule="exact"/>
              <w:jc w:val="center"/>
              <w:rPr>
                <w:rFonts w:ascii="宋体" w:hAnsi="宋体" w:eastAsia="宋体" w:cs="宋体"/>
                <w:color w:val="000000"/>
                <w:kern w:val="0"/>
                <w:sz w:val="20"/>
                <w:szCs w:val="20"/>
              </w:rPr>
            </w:pPr>
          </w:p>
        </w:tc>
        <w:tc>
          <w:tcPr>
            <w:tcW w:w="675" w:type="dxa"/>
            <w:vMerge w:val="continue"/>
            <w:shd w:val="clear" w:color="auto" w:fill="FFFFFF"/>
            <w:noWrap w:val="0"/>
            <w:vAlign w:val="center"/>
          </w:tcPr>
          <w:p>
            <w:pPr>
              <w:spacing w:line="240" w:lineRule="exact"/>
              <w:jc w:val="center"/>
              <w:rPr>
                <w:rFonts w:ascii="宋体" w:hAnsi="宋体" w:eastAsia="宋体" w:cs="宋体"/>
                <w:color w:val="000000"/>
                <w:kern w:val="0"/>
                <w:sz w:val="20"/>
                <w:szCs w:val="20"/>
              </w:rPr>
            </w:pPr>
          </w:p>
        </w:tc>
        <w:tc>
          <w:tcPr>
            <w:tcW w:w="1503" w:type="dxa"/>
            <w:shd w:val="clear" w:color="auto" w:fill="FFFFFF"/>
            <w:noWrap w:val="0"/>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预算执行率</w:t>
            </w:r>
          </w:p>
        </w:tc>
        <w:tc>
          <w:tcPr>
            <w:tcW w:w="2055" w:type="dxa"/>
            <w:shd w:val="clear" w:color="auto" w:fill="FFFFFF"/>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项目预算资金是否按照计划执行，用以反映或考核项目预算执行情况。</w:t>
            </w:r>
          </w:p>
        </w:tc>
        <w:tc>
          <w:tcPr>
            <w:tcW w:w="4875" w:type="dxa"/>
            <w:shd w:val="clear" w:color="auto" w:fill="FFFFFF"/>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预算执行率=（实际支出资金/实际到位资金）×100%。</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实际支出资金：一定时期（本年度或项目期）内项目实际拨付的资金。</w:t>
            </w:r>
          </w:p>
        </w:tc>
        <w:tc>
          <w:tcPr>
            <w:tcW w:w="1395" w:type="dxa"/>
            <w:shd w:val="clear" w:color="auto" w:fill="FFFFFF"/>
            <w:noWrap w:val="0"/>
            <w:vAlign w:val="center"/>
          </w:tcPr>
          <w:p>
            <w:pPr>
              <w:widowControl/>
              <w:spacing w:line="240" w:lineRule="exact"/>
              <w:rPr>
                <w:rFonts w:hint="eastAsia" w:ascii="宋体" w:hAnsi="宋体" w:eastAsia="宋体" w:cs="宋体"/>
                <w:color w:val="000000"/>
                <w:kern w:val="0"/>
                <w:sz w:val="30"/>
                <w:szCs w:val="30"/>
                <w:lang w:val="en-US" w:eastAsia="zh-CN"/>
              </w:rPr>
            </w:pPr>
            <w:r>
              <w:rPr>
                <w:rFonts w:hint="eastAsia" w:ascii="宋体" w:hAnsi="宋体" w:eastAsia="宋体" w:cs="宋体"/>
                <w:color w:val="000000"/>
                <w:kern w:val="0"/>
                <w:sz w:val="30"/>
                <w:szCs w:val="30"/>
                <w:lang w:val="en-US" w:eastAsia="zh-CN"/>
              </w:rPr>
              <w:t>8</w:t>
            </w:r>
            <w:bookmarkStart w:id="0" w:name="_GoBack"/>
            <w:bookmarkEnd w:id="0"/>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20" w:hRule="atLeast"/>
          <w:jc w:val="center"/>
        </w:trPr>
        <w:tc>
          <w:tcPr>
            <w:tcW w:w="718" w:type="dxa"/>
            <w:vMerge w:val="restart"/>
            <w:shd w:val="clear" w:color="auto" w:fill="FFFFFF"/>
            <w:noWrap w:val="0"/>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p>
            <w:pPr>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过程　</w:t>
            </w:r>
          </w:p>
        </w:tc>
        <w:tc>
          <w:tcPr>
            <w:tcW w:w="675" w:type="dxa"/>
            <w:shd w:val="clear" w:color="auto" w:fill="FFFFFF"/>
            <w:noWrap w:val="0"/>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资金管理</w:t>
            </w:r>
          </w:p>
        </w:tc>
        <w:tc>
          <w:tcPr>
            <w:tcW w:w="1503" w:type="dxa"/>
            <w:shd w:val="clear" w:color="auto" w:fill="FFFFFF"/>
            <w:noWrap w:val="0"/>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资金使用</w:t>
            </w:r>
          </w:p>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合规性</w:t>
            </w:r>
          </w:p>
        </w:tc>
        <w:tc>
          <w:tcPr>
            <w:tcW w:w="2055" w:type="dxa"/>
            <w:shd w:val="clear" w:color="000000" w:fill="FFFFFF"/>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项目资金使用是否符合相关的财务管理制度规定，用以反映和考核项目资金的规范运行情况。</w:t>
            </w:r>
          </w:p>
        </w:tc>
        <w:tc>
          <w:tcPr>
            <w:tcW w:w="4875" w:type="dxa"/>
            <w:shd w:val="clear" w:color="000000" w:fill="FFFFFF"/>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评价要点：</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①是否符合国家财经法规和财务管理制度以及有关专项资金管理办法的规定；</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②资金的拨付是否有完整的审批程序和手续；</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③是否符合项目预算批复或合同规定的用途；</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④是否存在截留、挤占、挪用、虚列支出等情况。</w:t>
            </w:r>
          </w:p>
        </w:tc>
        <w:tc>
          <w:tcPr>
            <w:tcW w:w="1395" w:type="dxa"/>
            <w:shd w:val="clear" w:color="000000" w:fill="FFFFFF"/>
            <w:noWrap w:val="0"/>
            <w:vAlign w:val="center"/>
          </w:tcPr>
          <w:p>
            <w:pPr>
              <w:widowControl/>
              <w:spacing w:line="240" w:lineRule="exact"/>
              <w:rPr>
                <w:rFonts w:hint="eastAsia" w:ascii="宋体" w:hAnsi="宋体" w:eastAsia="宋体" w:cs="宋体"/>
                <w:color w:val="000000"/>
                <w:kern w:val="0"/>
                <w:sz w:val="30"/>
                <w:szCs w:val="30"/>
                <w:lang w:val="en-US" w:eastAsia="zh-CN"/>
              </w:rPr>
            </w:pPr>
            <w:r>
              <w:rPr>
                <w:rFonts w:hint="eastAsia" w:ascii="宋体" w:hAnsi="宋体" w:eastAsia="宋体" w:cs="宋体"/>
                <w:color w:val="000000"/>
                <w:kern w:val="0"/>
                <w:sz w:val="30"/>
                <w:szCs w:val="30"/>
                <w:lang w:val="en-US" w:eastAsia="zh-CN"/>
              </w:rPr>
              <w:t>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20" w:hRule="atLeast"/>
          <w:jc w:val="center"/>
        </w:trPr>
        <w:tc>
          <w:tcPr>
            <w:tcW w:w="718" w:type="dxa"/>
            <w:vMerge w:val="continue"/>
            <w:shd w:val="clear" w:color="auto" w:fill="FFFFFF"/>
            <w:noWrap w:val="0"/>
            <w:vAlign w:val="center"/>
          </w:tcPr>
          <w:p>
            <w:pPr>
              <w:spacing w:line="240" w:lineRule="exact"/>
              <w:jc w:val="center"/>
              <w:rPr>
                <w:rFonts w:ascii="宋体" w:hAnsi="宋体" w:eastAsia="宋体" w:cs="宋体"/>
                <w:color w:val="000000"/>
                <w:kern w:val="0"/>
                <w:sz w:val="20"/>
                <w:szCs w:val="20"/>
              </w:rPr>
            </w:pPr>
          </w:p>
        </w:tc>
        <w:tc>
          <w:tcPr>
            <w:tcW w:w="675" w:type="dxa"/>
            <w:vMerge w:val="restart"/>
            <w:shd w:val="clear" w:color="auto" w:fill="FFFFFF"/>
            <w:noWrap w:val="0"/>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组织实施</w:t>
            </w:r>
          </w:p>
          <w:p>
            <w:pPr>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503" w:type="dxa"/>
            <w:shd w:val="clear" w:color="auto" w:fill="FFFFFF"/>
            <w:noWrap w:val="0"/>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管理制度</w:t>
            </w:r>
          </w:p>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健全性</w:t>
            </w:r>
          </w:p>
        </w:tc>
        <w:tc>
          <w:tcPr>
            <w:tcW w:w="2055" w:type="dxa"/>
            <w:shd w:val="clear" w:color="000000" w:fill="FFFFFF"/>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项目实施单位的财务和业务管理制度是否健全，用以反映和考核财务和业务管理制度对项目顺利实施的保障情况。</w:t>
            </w:r>
          </w:p>
        </w:tc>
        <w:tc>
          <w:tcPr>
            <w:tcW w:w="4875" w:type="dxa"/>
            <w:shd w:val="clear" w:color="000000" w:fill="FFFFFF"/>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评价要点：</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①是否已制定或具有相应的财务和业务管理制度；</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②财务和业务管理制度是否合法、合规、完整。</w:t>
            </w:r>
          </w:p>
        </w:tc>
        <w:tc>
          <w:tcPr>
            <w:tcW w:w="1395" w:type="dxa"/>
            <w:shd w:val="clear" w:color="000000" w:fill="FFFFFF"/>
            <w:noWrap w:val="0"/>
            <w:vAlign w:val="center"/>
          </w:tcPr>
          <w:p>
            <w:pPr>
              <w:widowControl/>
              <w:spacing w:line="240" w:lineRule="exact"/>
              <w:rPr>
                <w:rFonts w:hint="eastAsia" w:ascii="宋体" w:hAnsi="宋体" w:eastAsia="宋体" w:cs="宋体"/>
                <w:color w:val="000000"/>
                <w:kern w:val="0"/>
                <w:sz w:val="30"/>
                <w:szCs w:val="30"/>
                <w:lang w:val="en-US" w:eastAsia="zh-CN"/>
              </w:rPr>
            </w:pPr>
            <w:r>
              <w:rPr>
                <w:rFonts w:hint="eastAsia" w:ascii="宋体" w:hAnsi="宋体" w:eastAsia="宋体" w:cs="宋体"/>
                <w:color w:val="000000"/>
                <w:kern w:val="0"/>
                <w:sz w:val="30"/>
                <w:szCs w:val="30"/>
                <w:lang w:val="en-US" w:eastAsia="zh-CN"/>
              </w:rPr>
              <w:t>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1765" w:hRule="atLeast"/>
          <w:jc w:val="center"/>
        </w:trPr>
        <w:tc>
          <w:tcPr>
            <w:tcW w:w="718" w:type="dxa"/>
            <w:vMerge w:val="continue"/>
            <w:shd w:val="clear" w:color="auto" w:fill="FFFFFF"/>
            <w:noWrap w:val="0"/>
            <w:vAlign w:val="center"/>
          </w:tcPr>
          <w:p>
            <w:pPr>
              <w:widowControl/>
              <w:spacing w:line="240" w:lineRule="exact"/>
              <w:jc w:val="center"/>
              <w:rPr>
                <w:rFonts w:ascii="宋体" w:hAnsi="宋体" w:eastAsia="宋体" w:cs="宋体"/>
                <w:color w:val="000000"/>
                <w:kern w:val="0"/>
                <w:sz w:val="20"/>
                <w:szCs w:val="20"/>
              </w:rPr>
            </w:pPr>
          </w:p>
        </w:tc>
        <w:tc>
          <w:tcPr>
            <w:tcW w:w="675" w:type="dxa"/>
            <w:vMerge w:val="continue"/>
            <w:shd w:val="clear" w:color="auto" w:fill="FFFFFF"/>
            <w:noWrap w:val="0"/>
            <w:vAlign w:val="center"/>
          </w:tcPr>
          <w:p>
            <w:pPr>
              <w:widowControl/>
              <w:spacing w:line="240" w:lineRule="exact"/>
              <w:jc w:val="center"/>
              <w:rPr>
                <w:rFonts w:ascii="宋体" w:hAnsi="宋体" w:eastAsia="宋体" w:cs="宋体"/>
                <w:color w:val="000000"/>
                <w:kern w:val="0"/>
                <w:sz w:val="20"/>
                <w:szCs w:val="20"/>
              </w:rPr>
            </w:pPr>
          </w:p>
        </w:tc>
        <w:tc>
          <w:tcPr>
            <w:tcW w:w="1503" w:type="dxa"/>
            <w:shd w:val="clear" w:color="auto" w:fill="FFFFFF"/>
            <w:noWrap w:val="0"/>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制度执行</w:t>
            </w:r>
          </w:p>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有效性</w:t>
            </w:r>
          </w:p>
        </w:tc>
        <w:tc>
          <w:tcPr>
            <w:tcW w:w="2055" w:type="dxa"/>
            <w:shd w:val="clear" w:color="000000" w:fill="FFFFFF"/>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项目实施是否符合相关管理规定，用以反映和考核相关管理制度的有效执行情况。</w:t>
            </w:r>
          </w:p>
        </w:tc>
        <w:tc>
          <w:tcPr>
            <w:tcW w:w="4875" w:type="dxa"/>
            <w:shd w:val="clear" w:color="000000" w:fill="FFFFFF"/>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评价要点：</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①是否遵守相关法律法规和相关管理规定；</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②项目调整及支出调整手续是否完备；</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③项目合同书、验收报告、技术鉴定等资料是否齐全并及时归档；</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④项目实施的人员条件、场地设备、信息支撑等是否落实到位。</w:t>
            </w:r>
          </w:p>
        </w:tc>
        <w:tc>
          <w:tcPr>
            <w:tcW w:w="1395" w:type="dxa"/>
            <w:shd w:val="clear" w:color="000000" w:fill="FFFFFF"/>
            <w:noWrap w:val="0"/>
            <w:vAlign w:val="center"/>
          </w:tcPr>
          <w:p>
            <w:pPr>
              <w:widowControl/>
              <w:spacing w:line="240" w:lineRule="exact"/>
              <w:rPr>
                <w:rFonts w:hint="eastAsia" w:ascii="宋体" w:hAnsi="宋体" w:eastAsia="宋体" w:cs="宋体"/>
                <w:color w:val="000000"/>
                <w:kern w:val="0"/>
                <w:sz w:val="30"/>
                <w:szCs w:val="30"/>
                <w:lang w:val="en-US" w:eastAsia="zh-CN"/>
              </w:rPr>
            </w:pPr>
            <w:r>
              <w:rPr>
                <w:rFonts w:hint="eastAsia" w:ascii="宋体" w:hAnsi="宋体" w:eastAsia="宋体" w:cs="宋体"/>
                <w:color w:val="000000"/>
                <w:kern w:val="0"/>
                <w:sz w:val="30"/>
                <w:szCs w:val="30"/>
                <w:lang w:val="en-US" w:eastAsia="zh-CN"/>
              </w:rPr>
              <w:t>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1595" w:hRule="atLeast"/>
          <w:jc w:val="center"/>
        </w:trPr>
        <w:tc>
          <w:tcPr>
            <w:tcW w:w="718" w:type="dxa"/>
            <w:shd w:val="clear" w:color="auto" w:fill="FFFFFF"/>
            <w:noWrap w:val="0"/>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产出</w:t>
            </w:r>
          </w:p>
        </w:tc>
        <w:tc>
          <w:tcPr>
            <w:tcW w:w="675" w:type="dxa"/>
            <w:shd w:val="clear" w:color="auto" w:fill="FFFFFF"/>
            <w:noWrap w:val="0"/>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产出数量</w:t>
            </w:r>
          </w:p>
        </w:tc>
        <w:tc>
          <w:tcPr>
            <w:tcW w:w="1503" w:type="dxa"/>
            <w:shd w:val="clear" w:color="auto" w:fill="FFFFFF"/>
            <w:noWrap w:val="0"/>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实际完成率</w:t>
            </w:r>
          </w:p>
        </w:tc>
        <w:tc>
          <w:tcPr>
            <w:tcW w:w="2055" w:type="dxa"/>
            <w:shd w:val="clear" w:color="000000" w:fill="FFFFFF"/>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项目实施的实际产出数与计划产出数的比率，用以反映和考核项目产出数量目标的实现程度。</w:t>
            </w:r>
          </w:p>
        </w:tc>
        <w:tc>
          <w:tcPr>
            <w:tcW w:w="4875" w:type="dxa"/>
            <w:shd w:val="clear" w:color="000000" w:fill="FFFFFF"/>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实际完成率=（实际产出数/计划产出数）×100%。</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实际产出数：一定时期（本年度或项目期）内项目实际产出的产品或提供的服务数量。</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计划产出数：项目绩效目标确定的在一定时期（本年度或项目期）内计划产出的产品或提供的服务数量。</w:t>
            </w:r>
          </w:p>
        </w:tc>
        <w:tc>
          <w:tcPr>
            <w:tcW w:w="1395" w:type="dxa"/>
            <w:shd w:val="clear" w:color="000000" w:fill="FFFFFF"/>
            <w:noWrap w:val="0"/>
            <w:vAlign w:val="center"/>
          </w:tcPr>
          <w:p>
            <w:pPr>
              <w:widowControl/>
              <w:spacing w:line="240" w:lineRule="exac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30"/>
                <w:szCs w:val="30"/>
                <w:lang w:val="en-US" w:eastAsia="zh-CN"/>
              </w:rPr>
              <w:t>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1570" w:hRule="atLeast"/>
          <w:jc w:val="center"/>
        </w:trPr>
        <w:tc>
          <w:tcPr>
            <w:tcW w:w="718" w:type="dxa"/>
            <w:vMerge w:val="restart"/>
            <w:shd w:val="clear" w:color="auto" w:fill="FFFFFF"/>
            <w:noWrap w:val="0"/>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产出</w:t>
            </w:r>
          </w:p>
        </w:tc>
        <w:tc>
          <w:tcPr>
            <w:tcW w:w="675" w:type="dxa"/>
            <w:shd w:val="clear" w:color="auto" w:fill="FFFFFF"/>
            <w:noWrap w:val="0"/>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产出质量</w:t>
            </w:r>
          </w:p>
        </w:tc>
        <w:tc>
          <w:tcPr>
            <w:tcW w:w="1503" w:type="dxa"/>
            <w:shd w:val="clear" w:color="auto" w:fill="FFFFFF"/>
            <w:noWrap w:val="0"/>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质量达标率</w:t>
            </w:r>
          </w:p>
        </w:tc>
        <w:tc>
          <w:tcPr>
            <w:tcW w:w="2055" w:type="dxa"/>
            <w:shd w:val="clear" w:color="000000" w:fill="FFFFFF"/>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项目完成的质量达标产出数与实际产出数的比率，用以反映和考核项目产出质量目标的实现程度。</w:t>
            </w:r>
          </w:p>
        </w:tc>
        <w:tc>
          <w:tcPr>
            <w:tcW w:w="4875" w:type="dxa"/>
            <w:shd w:val="clear" w:color="000000" w:fill="FFFFFF"/>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质量达标率=（质量达标产出数/实际产出数）×100%。</w:t>
            </w:r>
          </w:p>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质量达标产出数：一定时期（本年度或项目期）内实际达到既定质量标准的产品或服务数量。既定质量标准是指项目实施单位设立绩效目标时依据计划标准、行业标准、历史标准或其他标准而设定的绩效指标值。</w:t>
            </w:r>
          </w:p>
        </w:tc>
        <w:tc>
          <w:tcPr>
            <w:tcW w:w="1395" w:type="dxa"/>
            <w:shd w:val="clear" w:color="000000" w:fill="FFFFFF"/>
            <w:noWrap w:val="0"/>
            <w:vAlign w:val="center"/>
          </w:tcPr>
          <w:p>
            <w:pPr>
              <w:widowControl/>
              <w:spacing w:line="240" w:lineRule="exact"/>
              <w:rPr>
                <w:rFonts w:hint="eastAsia" w:ascii="宋体" w:hAnsi="宋体" w:eastAsia="宋体" w:cs="宋体"/>
                <w:color w:val="000000"/>
                <w:kern w:val="0"/>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20" w:hRule="atLeast"/>
          <w:jc w:val="center"/>
        </w:trPr>
        <w:tc>
          <w:tcPr>
            <w:tcW w:w="718" w:type="dxa"/>
            <w:vMerge w:val="continue"/>
            <w:shd w:val="clear" w:color="auto" w:fill="FFFFFF"/>
            <w:noWrap w:val="0"/>
            <w:vAlign w:val="center"/>
          </w:tcPr>
          <w:p>
            <w:pPr>
              <w:spacing w:line="240" w:lineRule="exact"/>
              <w:jc w:val="center"/>
              <w:rPr>
                <w:rFonts w:ascii="宋体" w:hAnsi="宋体" w:eastAsia="宋体" w:cs="宋体"/>
                <w:color w:val="000000"/>
                <w:kern w:val="0"/>
                <w:sz w:val="20"/>
                <w:szCs w:val="20"/>
              </w:rPr>
            </w:pPr>
          </w:p>
        </w:tc>
        <w:tc>
          <w:tcPr>
            <w:tcW w:w="675" w:type="dxa"/>
            <w:shd w:val="clear" w:color="auto" w:fill="FFFFFF"/>
            <w:noWrap w:val="0"/>
            <w:vAlign w:val="center"/>
          </w:tcPr>
          <w:p>
            <w:pPr>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产出时效</w:t>
            </w:r>
          </w:p>
        </w:tc>
        <w:tc>
          <w:tcPr>
            <w:tcW w:w="1503" w:type="dxa"/>
            <w:shd w:val="clear" w:color="auto" w:fill="FFFFFF"/>
            <w:noWrap w:val="0"/>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完成及时性</w:t>
            </w:r>
          </w:p>
        </w:tc>
        <w:tc>
          <w:tcPr>
            <w:tcW w:w="2055" w:type="dxa"/>
            <w:shd w:val="clear" w:color="000000" w:fill="FFFFFF"/>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项目实际完成时间与计划完成时间的比较，用以反映和考核项目产出时效目标的实现程度。</w:t>
            </w:r>
          </w:p>
        </w:tc>
        <w:tc>
          <w:tcPr>
            <w:tcW w:w="4875" w:type="dxa"/>
            <w:shd w:val="clear" w:color="000000" w:fill="FFFFFF"/>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实际完成时间：项目实施单位完成该项目实际所耗用的时间。</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计划完成时间：按照项目实施计划或相关规定完成该项目所需的时间。</w:t>
            </w:r>
          </w:p>
        </w:tc>
        <w:tc>
          <w:tcPr>
            <w:tcW w:w="1395" w:type="dxa"/>
            <w:shd w:val="clear" w:color="000000" w:fill="FFFFFF"/>
            <w:noWrap w:val="0"/>
            <w:vAlign w:val="center"/>
          </w:tcPr>
          <w:p>
            <w:pPr>
              <w:widowControl/>
              <w:spacing w:line="240" w:lineRule="exac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30"/>
                <w:szCs w:val="30"/>
                <w:lang w:val="en-US" w:eastAsia="zh-CN"/>
              </w:rPr>
              <w:t>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20" w:hRule="atLeast"/>
          <w:jc w:val="center"/>
        </w:trPr>
        <w:tc>
          <w:tcPr>
            <w:tcW w:w="718" w:type="dxa"/>
            <w:vMerge w:val="continue"/>
            <w:shd w:val="clear" w:color="auto" w:fill="FFFFFF"/>
            <w:noWrap w:val="0"/>
            <w:vAlign w:val="center"/>
          </w:tcPr>
          <w:p>
            <w:pPr>
              <w:widowControl/>
              <w:spacing w:line="240" w:lineRule="exact"/>
              <w:jc w:val="center"/>
              <w:rPr>
                <w:rFonts w:ascii="宋体" w:hAnsi="宋体" w:eastAsia="宋体" w:cs="宋体"/>
                <w:color w:val="000000"/>
                <w:kern w:val="0"/>
                <w:sz w:val="20"/>
                <w:szCs w:val="20"/>
              </w:rPr>
            </w:pPr>
          </w:p>
        </w:tc>
        <w:tc>
          <w:tcPr>
            <w:tcW w:w="675" w:type="dxa"/>
            <w:shd w:val="clear" w:color="auto" w:fill="FFFFFF"/>
            <w:noWrap w:val="0"/>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产出成本</w:t>
            </w:r>
          </w:p>
        </w:tc>
        <w:tc>
          <w:tcPr>
            <w:tcW w:w="1503" w:type="dxa"/>
            <w:shd w:val="clear" w:color="auto" w:fill="FFFFFF"/>
            <w:noWrap w:val="0"/>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成本节约率</w:t>
            </w:r>
          </w:p>
        </w:tc>
        <w:tc>
          <w:tcPr>
            <w:tcW w:w="2055" w:type="dxa"/>
            <w:shd w:val="clear" w:color="000000" w:fill="FFFFFF"/>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完成项目计划工作目标的实际节约成本与计划成本的比率，用以反映和考核项目的成本节约程度。</w:t>
            </w:r>
          </w:p>
        </w:tc>
        <w:tc>
          <w:tcPr>
            <w:tcW w:w="4875" w:type="dxa"/>
            <w:shd w:val="clear" w:color="000000" w:fill="FFFFFF"/>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成本节约率=[（计划成本-实际成本）/计划成本]×100%。</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实际成本：项目实施单位如期、保质、保量完成既定工作目标实际所耗费的支出。</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计划成本：项目实施单位为完成工作目标计划安排的支出，一般以项目预算为参考。</w:t>
            </w:r>
          </w:p>
        </w:tc>
        <w:tc>
          <w:tcPr>
            <w:tcW w:w="1395" w:type="dxa"/>
            <w:shd w:val="clear" w:color="000000" w:fill="FFFFFF"/>
            <w:noWrap w:val="0"/>
            <w:vAlign w:val="center"/>
          </w:tcPr>
          <w:p>
            <w:pPr>
              <w:widowControl/>
              <w:spacing w:line="240" w:lineRule="exact"/>
              <w:rPr>
                <w:rFonts w:hint="eastAsia" w:ascii="宋体" w:hAnsi="宋体" w:eastAsia="宋体" w:cs="宋体"/>
                <w:color w:val="000000"/>
                <w:kern w:val="0"/>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925" w:hRule="atLeast"/>
          <w:jc w:val="center"/>
        </w:trPr>
        <w:tc>
          <w:tcPr>
            <w:tcW w:w="718" w:type="dxa"/>
            <w:vMerge w:val="restart"/>
            <w:shd w:val="clear" w:color="auto" w:fill="FFFFFF"/>
            <w:noWrap w:val="0"/>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效益　</w:t>
            </w:r>
          </w:p>
        </w:tc>
        <w:tc>
          <w:tcPr>
            <w:tcW w:w="675" w:type="dxa"/>
            <w:vMerge w:val="restart"/>
            <w:shd w:val="clear" w:color="auto" w:fill="FFFFFF"/>
            <w:noWrap w:val="0"/>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项目效益　</w:t>
            </w:r>
          </w:p>
        </w:tc>
        <w:tc>
          <w:tcPr>
            <w:tcW w:w="1503" w:type="dxa"/>
            <w:shd w:val="clear" w:color="auto" w:fill="FFFFFF"/>
            <w:noWrap w:val="0"/>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实施效益</w:t>
            </w:r>
          </w:p>
        </w:tc>
        <w:tc>
          <w:tcPr>
            <w:tcW w:w="2055" w:type="dxa"/>
            <w:shd w:val="clear" w:color="auto" w:fill="FFFFFF"/>
            <w:noWrap w:val="0"/>
            <w:vAlign w:val="center"/>
          </w:tcPr>
          <w:p>
            <w:pPr>
              <w:widowControl/>
              <w:spacing w:line="240" w:lineRule="exact"/>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项目实施所产生的效益。</w:t>
            </w:r>
          </w:p>
        </w:tc>
        <w:tc>
          <w:tcPr>
            <w:tcW w:w="4875" w:type="dxa"/>
            <w:shd w:val="clear" w:color="auto" w:fill="FFFFFF"/>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项目实施所产生的社会效益、经济效益、生态效益、可持续影响等。可根据项目实际情况有选择地设置和细化。</w:t>
            </w:r>
          </w:p>
        </w:tc>
        <w:tc>
          <w:tcPr>
            <w:tcW w:w="1395" w:type="dxa"/>
            <w:shd w:val="clear" w:color="auto" w:fill="FFFFFF"/>
            <w:noWrap w:val="0"/>
            <w:vAlign w:val="center"/>
          </w:tcPr>
          <w:p>
            <w:pPr>
              <w:widowControl/>
              <w:spacing w:line="240" w:lineRule="exact"/>
              <w:rPr>
                <w:rFonts w:hint="eastAsia" w:ascii="宋体" w:hAnsi="宋体" w:eastAsia="宋体" w:cs="宋体"/>
                <w:color w:val="000000"/>
                <w:kern w:val="0"/>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1095" w:hRule="atLeast"/>
          <w:jc w:val="center"/>
        </w:trPr>
        <w:tc>
          <w:tcPr>
            <w:tcW w:w="718" w:type="dxa"/>
            <w:vMerge w:val="continue"/>
            <w:shd w:val="clear" w:color="auto" w:fill="FFFFFF"/>
            <w:noWrap w:val="0"/>
            <w:vAlign w:val="center"/>
          </w:tcPr>
          <w:p>
            <w:pPr>
              <w:widowControl/>
              <w:spacing w:line="240" w:lineRule="exact"/>
              <w:jc w:val="center"/>
              <w:rPr>
                <w:rFonts w:ascii="宋体" w:hAnsi="宋体" w:eastAsia="宋体" w:cs="宋体"/>
                <w:color w:val="000000"/>
                <w:kern w:val="0"/>
                <w:sz w:val="20"/>
                <w:szCs w:val="20"/>
              </w:rPr>
            </w:pPr>
          </w:p>
        </w:tc>
        <w:tc>
          <w:tcPr>
            <w:tcW w:w="675" w:type="dxa"/>
            <w:vMerge w:val="continue"/>
            <w:shd w:val="clear" w:color="auto" w:fill="FFFFFF"/>
            <w:noWrap w:val="0"/>
            <w:vAlign w:val="center"/>
          </w:tcPr>
          <w:p>
            <w:pPr>
              <w:widowControl/>
              <w:spacing w:line="240" w:lineRule="exact"/>
              <w:jc w:val="center"/>
              <w:rPr>
                <w:rFonts w:ascii="宋体" w:hAnsi="宋体" w:eastAsia="宋体" w:cs="宋体"/>
                <w:color w:val="000000"/>
                <w:kern w:val="0"/>
                <w:sz w:val="20"/>
                <w:szCs w:val="20"/>
              </w:rPr>
            </w:pPr>
          </w:p>
        </w:tc>
        <w:tc>
          <w:tcPr>
            <w:tcW w:w="1503" w:type="dxa"/>
            <w:shd w:val="clear" w:color="auto" w:fill="FFFFFF"/>
            <w:noWrap w:val="0"/>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满意度</w:t>
            </w:r>
          </w:p>
        </w:tc>
        <w:tc>
          <w:tcPr>
            <w:tcW w:w="2055" w:type="dxa"/>
            <w:shd w:val="clear" w:color="000000" w:fill="FFFFFF"/>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社会公众或服务对象对项目实施效果的满意程度。</w:t>
            </w:r>
          </w:p>
        </w:tc>
        <w:tc>
          <w:tcPr>
            <w:tcW w:w="4875" w:type="dxa"/>
            <w:shd w:val="clear" w:color="000000" w:fill="FFFFFF"/>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社会公众或服务对象是指因该项目实施而受到影响的部门（单位）、群体或个人。一般采取社会调查的方式。</w:t>
            </w:r>
          </w:p>
        </w:tc>
        <w:tc>
          <w:tcPr>
            <w:tcW w:w="1395" w:type="dxa"/>
            <w:shd w:val="clear" w:color="000000" w:fill="FFFFFF"/>
            <w:noWrap w:val="0"/>
            <w:vAlign w:val="center"/>
          </w:tcPr>
          <w:p>
            <w:pPr>
              <w:widowControl/>
              <w:spacing w:line="240" w:lineRule="exact"/>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30"/>
                <w:szCs w:val="30"/>
                <w:lang w:val="en-US" w:eastAsia="zh-CN"/>
              </w:rPr>
              <w:t>8</w:t>
            </w:r>
          </w:p>
        </w:tc>
      </w:tr>
    </w:tbl>
    <w:p>
      <w:pPr>
        <w:spacing w:line="600" w:lineRule="exact"/>
        <w:rPr>
          <w:bCs/>
          <w:szCs w:val="32"/>
        </w:rPr>
      </w:pPr>
    </w:p>
    <w:p>
      <w:pPr>
        <w:spacing w:line="600" w:lineRule="exact"/>
        <w:rPr>
          <w:bCs/>
          <w:szCs w:val="32"/>
        </w:rPr>
        <w:sectPr>
          <w:pgSz w:w="16838" w:h="11906" w:orient="landscape"/>
          <w:pgMar w:top="1701" w:right="1418" w:bottom="1701" w:left="1418" w:header="737" w:footer="851" w:gutter="0"/>
          <w:cols w:space="720" w:num="1"/>
          <w:docGrid w:type="lines" w:linePitch="408"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ED63A7C"/>
    <w:rsid w:val="452C3C96"/>
    <w:rsid w:val="55297620"/>
    <w:rsid w:val="6B46687F"/>
    <w:rsid w:val="71BE126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仿宋_GB2312" w:hAnsi="新宋体" w:eastAsia="仿宋_GB2312" w:cs="Times New Roman"/>
      <w:kern w:val="2"/>
      <w:sz w:val="32"/>
      <w:szCs w:val="24"/>
      <w:lang w:val="en-US" w:eastAsia="zh-CN" w:bidi="ar-SA"/>
    </w:rPr>
  </w:style>
  <w:style w:type="paragraph" w:styleId="2">
    <w:name w:val="heading 2"/>
    <w:basedOn w:val="1"/>
    <w:next w:val="1"/>
    <w:unhideWhenUsed/>
    <w:qFormat/>
    <w:uiPriority w:val="0"/>
    <w:pPr>
      <w:keepNext/>
      <w:keepLines/>
      <w:spacing w:before="260" w:after="260" w:line="413" w:lineRule="auto"/>
      <w:outlineLvl w:val="1"/>
    </w:pPr>
    <w:rPr>
      <w:rFonts w:ascii="Arial" w:hAnsi="Arial" w:eastAsia="黑体"/>
      <w:b/>
      <w:szCs w:val="20"/>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admin</cp:lastModifiedBy>
  <dcterms:modified xsi:type="dcterms:W3CDTF">2022-10-31T09:35:28Z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