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2" w:lineRule="exact"/>
        <w:ind w:firstLine="1767" w:firstLineChars="400"/>
        <w:jc w:val="both"/>
        <w:outlineLvl w:val="0"/>
        <w:rPr>
          <w:rFonts w:hint="eastAsia" w:ascii="宋体" w:hAnsi="宋体" w:eastAsia="宋体" w:cs="宋体"/>
          <w:b/>
          <w:bCs/>
          <w:sz w:val="44"/>
          <w:szCs w:val="44"/>
        </w:rPr>
      </w:pPr>
      <w:r>
        <w:rPr>
          <w:rFonts w:hint="eastAsia" w:ascii="宋体" w:hAnsi="宋体" w:eastAsia="宋体" w:cs="宋体"/>
          <w:b/>
          <w:bCs/>
          <w:sz w:val="44"/>
          <w:szCs w:val="44"/>
        </w:rPr>
        <w:t>项目支出绩效评价报告</w:t>
      </w:r>
    </w:p>
    <w:p>
      <w:pPr>
        <w:spacing w:line="552" w:lineRule="exact"/>
        <w:ind w:firstLine="640" w:firstLineChars="200"/>
        <w:rPr>
          <w:rFonts w:hint="eastAsia" w:ascii="黑体" w:hAnsi="仿宋" w:eastAsia="黑体"/>
          <w:szCs w:val="32"/>
        </w:rPr>
      </w:pPr>
    </w:p>
    <w:p>
      <w:pPr>
        <w:spacing w:line="552" w:lineRule="exact"/>
        <w:ind w:firstLine="640" w:firstLineChars="200"/>
        <w:rPr>
          <w:rFonts w:hint="eastAsia" w:ascii="黑体" w:hAnsi="仿宋" w:eastAsia="黑体"/>
          <w:szCs w:val="32"/>
        </w:rPr>
      </w:pPr>
      <w:r>
        <w:rPr>
          <w:rFonts w:hint="eastAsia" w:ascii="黑体" w:hAnsi="仿宋" w:eastAsia="黑体"/>
          <w:szCs w:val="32"/>
        </w:rPr>
        <w:t>一、基本情况</w:t>
      </w:r>
    </w:p>
    <w:p>
      <w:pPr>
        <w:spacing w:line="552" w:lineRule="exact"/>
        <w:ind w:firstLine="640" w:firstLineChars="200"/>
        <w:outlineLvl w:val="0"/>
        <w:rPr>
          <w:rFonts w:hint="eastAsia" w:hAnsi="仿宋"/>
          <w:szCs w:val="32"/>
        </w:rPr>
      </w:pPr>
      <w:r>
        <w:rPr>
          <w:rFonts w:hint="eastAsia" w:hAnsi="仿宋"/>
          <w:szCs w:val="32"/>
        </w:rPr>
        <w:t>（一）项目概况。包括项目背景、主要内容及实施情况、资金投入和使用情况等。</w:t>
      </w:r>
    </w:p>
    <w:p>
      <w:pPr>
        <w:spacing w:line="552" w:lineRule="exact"/>
        <w:ind w:firstLine="640" w:firstLineChars="200"/>
        <w:outlineLvl w:val="0"/>
        <w:rPr>
          <w:rFonts w:hint="eastAsia" w:hAnsi="仿宋"/>
          <w:szCs w:val="32"/>
        </w:rPr>
      </w:pPr>
      <w:r>
        <w:rPr>
          <w:rFonts w:hint="eastAsia" w:ascii="仿宋_GB2312" w:hAnsi="仿宋_GB2312" w:eastAsia="仿宋_GB2312" w:cs="仿宋_GB2312"/>
          <w:sz w:val="32"/>
          <w:szCs w:val="32"/>
          <w:lang w:eastAsia="zh-CN"/>
        </w:rPr>
        <w:t>为保障我市市级储备粮各项工作顺利开展，根据《海南省粮食风险基金办法管理暂行办法》（琼财建[2003]668号）及《海口市市级储备粮管理暂行办法》（海府办规[20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号）要求，设立该项目。将预算资金转入粮食风险基金专户中，用于拨付我市各粮食承储企业用于市级储备粮轮换价差、拨付农发行海口市琼山支行市级储备粮贷款利息、拨付市粮油质量监测站抽样检验费等。</w:t>
      </w:r>
    </w:p>
    <w:p>
      <w:pPr>
        <w:numPr>
          <w:ilvl w:val="0"/>
          <w:numId w:val="1"/>
        </w:numPr>
        <w:spacing w:line="552" w:lineRule="exact"/>
        <w:ind w:firstLine="640" w:firstLineChars="200"/>
        <w:rPr>
          <w:rFonts w:hint="eastAsia" w:hAnsi="仿宋"/>
          <w:szCs w:val="32"/>
        </w:rPr>
      </w:pPr>
      <w:r>
        <w:rPr>
          <w:rFonts w:hint="eastAsia" w:hAnsi="仿宋"/>
          <w:szCs w:val="32"/>
        </w:rPr>
        <w:t>项目绩效目标。包括总体目标和阶段性目标。</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保障我市市级储备粮各项工作顺利开展，资金转入粮食风险基金专户中，用于拨付我市各粮食承储企业用于市级储备粮轮换价差、拨付农发行海口市琼山支行市级储备粮贷款利息、拨付市粮油质量监测站抽样检验费等。</w:t>
      </w:r>
    </w:p>
    <w:p>
      <w:pPr>
        <w:spacing w:line="552" w:lineRule="exact"/>
        <w:ind w:firstLine="640" w:firstLineChars="200"/>
        <w:rPr>
          <w:rFonts w:hint="eastAsia" w:ascii="黑体" w:hAnsi="仿宋" w:eastAsia="黑体"/>
          <w:szCs w:val="32"/>
        </w:rPr>
      </w:pPr>
      <w:r>
        <w:rPr>
          <w:rFonts w:hint="eastAsia" w:ascii="黑体" w:hAnsi="仿宋" w:eastAsia="黑体"/>
          <w:szCs w:val="32"/>
        </w:rPr>
        <w:t>二、绩效评价工作开展情况</w:t>
      </w:r>
    </w:p>
    <w:p>
      <w:pPr>
        <w:spacing w:line="552" w:lineRule="exact"/>
        <w:ind w:firstLine="640" w:firstLineChars="200"/>
        <w:rPr>
          <w:rFonts w:hint="eastAsia" w:hAnsi="仿宋"/>
          <w:szCs w:val="32"/>
        </w:rPr>
      </w:pPr>
      <w:r>
        <w:rPr>
          <w:rFonts w:hint="eastAsia" w:hAnsi="仿宋"/>
          <w:szCs w:val="32"/>
        </w:rPr>
        <w:t>（一）绩效评价目的、对象和范围。</w:t>
      </w:r>
    </w:p>
    <w:p>
      <w:pPr>
        <w:spacing w:line="552" w:lineRule="exact"/>
        <w:ind w:firstLine="640" w:firstLineChars="200"/>
        <w:rPr>
          <w:rFonts w:hint="eastAsia" w:hAnsi="仿宋" w:eastAsia="仿宋_GB2312"/>
          <w:szCs w:val="32"/>
          <w:lang w:eastAsia="zh-CN"/>
        </w:rPr>
      </w:pPr>
      <w:r>
        <w:rPr>
          <w:rFonts w:hint="eastAsia" w:hAnsi="仿宋"/>
          <w:szCs w:val="32"/>
          <w:lang w:eastAsia="zh-CN"/>
        </w:rPr>
        <w:t>为全面实施预算绩效管理，提高财政资源配置效率和使用效益，对我部门粮食风险基金项目进行绩效评价。</w:t>
      </w:r>
    </w:p>
    <w:p>
      <w:pPr>
        <w:spacing w:line="552" w:lineRule="exact"/>
        <w:ind w:firstLine="640" w:firstLineChars="200"/>
        <w:rPr>
          <w:rFonts w:hint="eastAsia" w:hAnsi="仿宋"/>
          <w:szCs w:val="32"/>
        </w:rPr>
      </w:pPr>
      <w:r>
        <w:rPr>
          <w:rFonts w:hint="eastAsia" w:hAnsi="仿宋"/>
          <w:szCs w:val="32"/>
        </w:rPr>
        <w:t>（二）绩效评价原则、评价指标体系（附表说明）、评价方法、评价标准等。</w:t>
      </w:r>
    </w:p>
    <w:p>
      <w:pPr>
        <w:spacing w:line="552" w:lineRule="exact"/>
        <w:ind w:firstLine="640" w:firstLineChars="200"/>
        <w:rPr>
          <w:rFonts w:hint="eastAsia" w:hAnsi="仿宋"/>
          <w:bCs/>
          <w:szCs w:val="32"/>
          <w:lang w:eastAsia="zh-CN"/>
        </w:rPr>
      </w:pPr>
      <w:r>
        <w:rPr>
          <w:rFonts w:hint="eastAsia" w:hAnsi="仿宋"/>
          <w:szCs w:val="32"/>
          <w:lang w:eastAsia="zh-CN"/>
        </w:rPr>
        <w:t>根据《中华人民共和国预算法》、</w:t>
      </w:r>
      <w:r>
        <w:rPr>
          <w:rFonts w:hint="eastAsia" w:hAnsi="仿宋"/>
          <w:bCs/>
          <w:szCs w:val="32"/>
        </w:rPr>
        <w:t>《中共海南省委、海南省人民政府关于全面实施预算绩效管理的实施意见》（琼发〔2019〕18 号）和《财政部关于印发&lt;项目支出绩效评价管理办法&gt;的通知》（财预〔2020〕10 号）等有关法律、法规和规定</w:t>
      </w:r>
      <w:r>
        <w:rPr>
          <w:rFonts w:hint="eastAsia" w:hAnsi="仿宋"/>
          <w:bCs/>
          <w:szCs w:val="32"/>
          <w:lang w:eastAsia="zh-CN"/>
        </w:rPr>
        <w:t>进行评价。</w:t>
      </w:r>
    </w:p>
    <w:p>
      <w:pPr>
        <w:spacing w:line="552" w:lineRule="exact"/>
        <w:ind w:firstLine="640" w:firstLineChars="200"/>
        <w:rPr>
          <w:rFonts w:hint="eastAsia" w:ascii="黑体" w:hAnsi="仿宋" w:eastAsia="黑体"/>
          <w:szCs w:val="32"/>
        </w:rPr>
      </w:pPr>
      <w:bookmarkStart w:id="0" w:name="_GoBack"/>
      <w:bookmarkEnd w:id="0"/>
      <w:r>
        <w:rPr>
          <w:rFonts w:hint="eastAsia" w:ascii="黑体" w:hAnsi="仿宋" w:eastAsia="黑体"/>
          <w:szCs w:val="32"/>
        </w:rPr>
        <w:t>三、综合评价情况及评价结论（附相关评分表）</w:t>
      </w:r>
    </w:p>
    <w:p>
      <w:pPr>
        <w:spacing w:line="552" w:lineRule="exact"/>
        <w:ind w:firstLine="640" w:firstLineChars="200"/>
        <w:rPr>
          <w:rFonts w:hint="eastAsia" w:ascii="黑体" w:hAnsi="仿宋" w:eastAsia="黑体"/>
          <w:szCs w:val="32"/>
        </w:rPr>
      </w:pPr>
      <w:r>
        <w:rPr>
          <w:rFonts w:hint="eastAsia" w:ascii="黑体" w:hAnsi="仿宋" w:eastAsia="黑体"/>
          <w:szCs w:val="32"/>
        </w:rPr>
        <w:t>四、绩效评价指标分析</w:t>
      </w:r>
    </w:p>
    <w:p>
      <w:pPr>
        <w:spacing w:line="552" w:lineRule="exact"/>
        <w:ind w:firstLine="640" w:firstLineChars="200"/>
        <w:outlineLvl w:val="0"/>
        <w:rPr>
          <w:rFonts w:hint="eastAsia" w:hAnsi="仿宋"/>
          <w:szCs w:val="32"/>
        </w:rPr>
      </w:pPr>
      <w:r>
        <w:rPr>
          <w:rFonts w:hint="eastAsia" w:hAnsi="仿宋"/>
          <w:szCs w:val="32"/>
        </w:rPr>
        <w:t>（一）项目决策情况。</w:t>
      </w:r>
    </w:p>
    <w:p>
      <w:pPr>
        <w:spacing w:line="552" w:lineRule="exact"/>
        <w:ind w:firstLine="640" w:firstLineChars="200"/>
        <w:outlineLvl w:val="0"/>
        <w:rPr>
          <w:rFonts w:hint="eastAsia" w:hAnsi="仿宋"/>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根据《海南省粮食风险基金办法管理暂行办法》（琼财建[2003]668号）及《海口市市级储备粮管理暂行办法》（海府办规[20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号）要求设立，具体资金需求是结合市发改委对本年度市级储备粮保管及轮换等业务资金进行测算后，综合粮食风险基金专户结转资金额度进行确定。编入市政府综合预留中，经人大会议批准通过。</w:t>
      </w:r>
    </w:p>
    <w:p>
      <w:pPr>
        <w:numPr>
          <w:ilvl w:val="0"/>
          <w:numId w:val="0"/>
        </w:numPr>
        <w:spacing w:line="552" w:lineRule="exact"/>
        <w:ind w:leftChars="200"/>
        <w:outlineLvl w:val="0"/>
        <w:rPr>
          <w:rFonts w:hint="eastAsia" w:hAnsi="仿宋"/>
          <w:szCs w:val="32"/>
        </w:rPr>
      </w:pPr>
      <w:r>
        <w:rPr>
          <w:rFonts w:hint="eastAsia" w:hAnsi="仿宋"/>
          <w:szCs w:val="32"/>
          <w:lang w:eastAsia="zh-CN"/>
        </w:rPr>
        <w:t>（二）</w:t>
      </w:r>
      <w:r>
        <w:rPr>
          <w:rFonts w:hint="eastAsia" w:hAnsi="仿宋"/>
          <w:szCs w:val="32"/>
        </w:rPr>
        <w:t>项目过程情况。</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lang w:eastAsia="zh-CN"/>
        </w:rPr>
        <w:t>《海南省粮食风险基金办法管理暂行办法》（琼财建[2003]668号）及《海口市市级储备粮管理暂行办法》（海府办规[20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号）进行管理</w:t>
      </w:r>
      <w:r>
        <w:rPr>
          <w:rFonts w:hint="eastAsia" w:hAnsi="仿宋_GB2312" w:cs="仿宋_GB2312"/>
          <w:sz w:val="32"/>
          <w:szCs w:val="32"/>
          <w:lang w:eastAsia="zh-CN"/>
        </w:rPr>
        <w:t>。</w:t>
      </w:r>
    </w:p>
    <w:p>
      <w:pPr>
        <w:numPr>
          <w:ilvl w:val="0"/>
          <w:numId w:val="0"/>
        </w:numPr>
        <w:spacing w:line="552" w:lineRule="exact"/>
        <w:ind w:firstLine="640" w:firstLineChars="200"/>
        <w:outlineLvl w:val="0"/>
        <w:rPr>
          <w:rFonts w:hint="eastAsia" w:hAnsi="仿宋"/>
          <w:szCs w:val="32"/>
        </w:rPr>
      </w:pPr>
      <w:r>
        <w:rPr>
          <w:rFonts w:hint="eastAsia" w:hAnsi="仿宋"/>
          <w:szCs w:val="32"/>
          <w:lang w:eastAsia="zh-CN"/>
        </w:rPr>
        <w:t>（三）</w:t>
      </w:r>
      <w:r>
        <w:rPr>
          <w:rFonts w:hint="eastAsia" w:hAnsi="仿宋"/>
          <w:szCs w:val="32"/>
        </w:rPr>
        <w:t>项目产出情况。</w:t>
      </w:r>
    </w:p>
    <w:p>
      <w:pPr>
        <w:numPr>
          <w:ilvl w:val="0"/>
          <w:numId w:val="0"/>
        </w:numPr>
        <w:spacing w:line="552" w:lineRule="exact"/>
        <w:ind w:leftChars="200"/>
        <w:outlineLvl w:val="0"/>
        <w:rPr>
          <w:rFonts w:hint="eastAsia" w:hAnsi="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该项目完全按照预算进行控制，</w:t>
      </w:r>
      <w:r>
        <w:rPr>
          <w:rFonts w:hint="eastAsia" w:hAnsi="仿宋_GB2312" w:cs="仿宋_GB2312"/>
          <w:sz w:val="32"/>
          <w:szCs w:val="32"/>
          <w:lang w:val="en-US" w:eastAsia="zh-CN"/>
        </w:rPr>
        <w:t>保障市级储备粮正常</w:t>
      </w:r>
    </w:p>
    <w:p>
      <w:pPr>
        <w:numPr>
          <w:ilvl w:val="0"/>
          <w:numId w:val="0"/>
        </w:numPr>
        <w:spacing w:line="552" w:lineRule="exact"/>
        <w:outlineLvl w:val="0"/>
        <w:rPr>
          <w:rFonts w:hint="eastAsia" w:hAnsi="仿宋"/>
          <w:szCs w:val="32"/>
        </w:rPr>
      </w:pPr>
      <w:r>
        <w:rPr>
          <w:rFonts w:hint="eastAsia" w:hAnsi="仿宋_GB2312" w:cs="仿宋_GB2312"/>
          <w:sz w:val="32"/>
          <w:szCs w:val="32"/>
          <w:lang w:val="en-US" w:eastAsia="zh-CN"/>
        </w:rPr>
        <w:t>轮换。</w:t>
      </w:r>
    </w:p>
    <w:p>
      <w:pPr>
        <w:numPr>
          <w:ilvl w:val="0"/>
          <w:numId w:val="0"/>
        </w:numPr>
        <w:spacing w:line="552" w:lineRule="exact"/>
        <w:ind w:leftChars="200"/>
        <w:outlineLvl w:val="0"/>
        <w:rPr>
          <w:rFonts w:hint="eastAsia" w:hAnsi="仿宋"/>
          <w:szCs w:val="32"/>
        </w:rPr>
      </w:pPr>
      <w:r>
        <w:rPr>
          <w:rFonts w:hint="eastAsia" w:hAnsi="仿宋"/>
          <w:szCs w:val="32"/>
          <w:lang w:eastAsia="zh-CN"/>
        </w:rPr>
        <w:t>（四）</w:t>
      </w:r>
      <w:r>
        <w:rPr>
          <w:rFonts w:hint="eastAsia" w:hAnsi="仿宋"/>
          <w:szCs w:val="32"/>
        </w:rPr>
        <w:t>项目效益情况。</w:t>
      </w:r>
    </w:p>
    <w:p>
      <w:pPr>
        <w:numPr>
          <w:ilvl w:val="0"/>
          <w:numId w:val="0"/>
        </w:numPr>
        <w:spacing w:line="552" w:lineRule="exact"/>
        <w:ind w:leftChars="200"/>
        <w:outlineLvl w:val="0"/>
        <w:rPr>
          <w:rFonts w:hint="eastAsia" w:hAnsi="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按时足额完成支出，切实实现目标任务</w:t>
      </w:r>
      <w:r>
        <w:rPr>
          <w:rFonts w:hint="eastAsia" w:hAnsi="仿宋_GB2312" w:cs="仿宋_GB2312"/>
          <w:sz w:val="32"/>
          <w:szCs w:val="32"/>
          <w:lang w:val="en-US" w:eastAsia="zh-CN"/>
        </w:rPr>
        <w:t>，保障市级储</w:t>
      </w:r>
    </w:p>
    <w:p>
      <w:pPr>
        <w:numPr>
          <w:ilvl w:val="0"/>
          <w:numId w:val="0"/>
        </w:numPr>
        <w:spacing w:line="552" w:lineRule="exact"/>
        <w:outlineLvl w:val="0"/>
        <w:rPr>
          <w:rFonts w:hint="eastAsia" w:hAnsi="仿宋"/>
          <w:szCs w:val="32"/>
        </w:rPr>
      </w:pPr>
      <w:r>
        <w:rPr>
          <w:rFonts w:hint="eastAsia" w:hAnsi="仿宋_GB2312" w:cs="仿宋_GB2312"/>
          <w:sz w:val="32"/>
          <w:szCs w:val="32"/>
          <w:lang w:val="en-US" w:eastAsia="zh-CN"/>
        </w:rPr>
        <w:t>备粮安全，保障社会稳定。</w:t>
      </w:r>
    </w:p>
    <w:p>
      <w:pPr>
        <w:numPr>
          <w:ilvl w:val="0"/>
          <w:numId w:val="2"/>
        </w:numPr>
        <w:spacing w:line="552" w:lineRule="exact"/>
        <w:ind w:firstLine="640" w:firstLineChars="200"/>
        <w:rPr>
          <w:rFonts w:hint="eastAsia" w:ascii="黑体" w:hAnsi="仿宋" w:eastAsia="黑体"/>
          <w:szCs w:val="32"/>
        </w:rPr>
      </w:pPr>
      <w:r>
        <w:rPr>
          <w:rFonts w:hint="eastAsia" w:ascii="黑体" w:hAnsi="仿宋" w:eastAsia="黑体"/>
          <w:szCs w:val="32"/>
        </w:rPr>
        <w:t>主要经验及做法、存在的问题及原因分析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下一步，将继续根据工作需求安排资金，做到保质保量完成</w:t>
      </w:r>
      <w:r>
        <w:rPr>
          <w:rFonts w:hint="eastAsia" w:hAnsi="仿宋_GB2312" w:cs="仿宋_GB2312"/>
          <w:sz w:val="32"/>
          <w:szCs w:val="32"/>
          <w:lang w:val="en-US" w:eastAsia="zh-CN"/>
        </w:rPr>
        <w:t>项目支出</w:t>
      </w:r>
      <w:r>
        <w:rPr>
          <w:rFonts w:hint="eastAsia" w:ascii="仿宋_GB2312" w:hAnsi="仿宋_GB2312" w:eastAsia="仿宋_GB2312" w:cs="仿宋_GB2312"/>
          <w:sz w:val="32"/>
          <w:szCs w:val="32"/>
          <w:lang w:val="en-US" w:eastAsia="zh-CN"/>
        </w:rPr>
        <w:t>，实现绩效目标任务。</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8BC09D"/>
    <w:multiLevelType w:val="singleLevel"/>
    <w:tmpl w:val="9A8BC09D"/>
    <w:lvl w:ilvl="0" w:tentative="0">
      <w:start w:val="5"/>
      <w:numFmt w:val="chineseCounting"/>
      <w:suff w:val="nothing"/>
      <w:lvlText w:val="%1、"/>
      <w:lvlJc w:val="left"/>
      <w:rPr>
        <w:rFonts w:hint="eastAsia"/>
      </w:rPr>
    </w:lvl>
  </w:abstractNum>
  <w:abstractNum w:abstractNumId="1">
    <w:nsid w:val="419FB75B"/>
    <w:multiLevelType w:val="singleLevel"/>
    <w:tmpl w:val="419FB75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87932"/>
    <w:rsid w:val="00905516"/>
    <w:rsid w:val="14141DB0"/>
    <w:rsid w:val="21B804CA"/>
    <w:rsid w:val="267618F1"/>
    <w:rsid w:val="2C3A3054"/>
    <w:rsid w:val="3247654C"/>
    <w:rsid w:val="36EC2056"/>
    <w:rsid w:val="40C7113A"/>
    <w:rsid w:val="470F7848"/>
    <w:rsid w:val="4F5C2FA8"/>
    <w:rsid w:val="50A87D86"/>
    <w:rsid w:val="5ADC3BFF"/>
    <w:rsid w:val="5EF07A94"/>
    <w:rsid w:val="7ACF13DB"/>
    <w:rsid w:val="7B674104"/>
    <w:rsid w:val="7D1156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2022-10-31T03:43:16Z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