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90" w:lineRule="exact"/>
        <w:rPr>
          <w:rFonts w:ascii="黑体" w:hAnsi="黑体" w:eastAsia="黑体"/>
          <w:szCs w:val="32"/>
        </w:rPr>
      </w:pPr>
      <w:r>
        <w:rPr>
          <w:rFonts w:hint="eastAsia" w:ascii="黑体" w:hAnsi="黑体" w:eastAsia="黑体"/>
          <w:szCs w:val="32"/>
        </w:rPr>
        <w:t>附件1</w:t>
      </w:r>
    </w:p>
    <w:p>
      <w:pPr>
        <w:spacing w:line="490" w:lineRule="exact"/>
        <w:jc w:val="center"/>
        <w:rPr>
          <w:rFonts w:ascii="黑体" w:hAnsi="黑体" w:eastAsia="黑体"/>
          <w:szCs w:val="32"/>
        </w:rPr>
      </w:pPr>
      <w:r>
        <w:rPr>
          <w:rFonts w:hint="eastAsia" w:ascii="宋体" w:hAnsi="宋体" w:eastAsia="宋体" w:cs="宋体"/>
          <w:b/>
          <w:bCs/>
          <w:kern w:val="0"/>
          <w:sz w:val="44"/>
          <w:szCs w:val="44"/>
        </w:rPr>
        <w:t>项目支出绩效自评表</w:t>
      </w:r>
    </w:p>
    <w:p>
      <w:pPr>
        <w:spacing w:line="490" w:lineRule="exact"/>
        <w:jc w:val="center"/>
        <w:rPr>
          <w:rFonts w:ascii="楷体_GB2312" w:hAnsi="黑体" w:eastAsia="楷体_GB2312"/>
          <w:szCs w:val="32"/>
        </w:rPr>
      </w:pPr>
      <w:r>
        <w:rPr>
          <w:rFonts w:hint="eastAsia" w:ascii="楷体_GB2312" w:hAnsi="宋体" w:eastAsia="楷体_GB2312" w:cs="宋体"/>
          <w:kern w:val="0"/>
          <w:szCs w:val="32"/>
        </w:rPr>
        <w:t>（2021年度）</w:t>
      </w:r>
    </w:p>
    <w:tbl>
      <w:tblPr>
        <w:tblStyle w:val="8"/>
        <w:tblW w:w="9080" w:type="dxa"/>
        <w:jc w:val="center"/>
        <w:tblLayout w:type="fixed"/>
        <w:tblCellMar>
          <w:top w:w="0" w:type="dxa"/>
          <w:left w:w="108" w:type="dxa"/>
          <w:bottom w:w="0" w:type="dxa"/>
          <w:right w:w="108" w:type="dxa"/>
        </w:tblCellMar>
      </w:tblPr>
      <w:tblGrid>
        <w:gridCol w:w="588"/>
        <w:gridCol w:w="980"/>
        <w:gridCol w:w="1250"/>
        <w:gridCol w:w="592"/>
        <w:gridCol w:w="1134"/>
        <w:gridCol w:w="284"/>
        <w:gridCol w:w="850"/>
        <w:gridCol w:w="851"/>
        <w:gridCol w:w="283"/>
        <w:gridCol w:w="284"/>
        <w:gridCol w:w="425"/>
        <w:gridCol w:w="298"/>
        <w:gridCol w:w="553"/>
        <w:gridCol w:w="708"/>
      </w:tblGrid>
      <w:tr>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民主党派事务</w:t>
            </w:r>
          </w:p>
        </w:tc>
      </w:tr>
      <w:tr>
        <w:tblPrEx>
          <w:tblCellMar>
            <w:top w:w="0" w:type="dxa"/>
            <w:left w:w="108" w:type="dxa"/>
            <w:bottom w:w="0" w:type="dxa"/>
            <w:right w:w="108" w:type="dxa"/>
          </w:tblCellMar>
        </w:tblPrEx>
        <w:trPr>
          <w:trHeight w:val="41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九三学社海口市委员会</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九三学社海口市委员会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9.68</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9.68</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9.58</w:t>
            </w: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98.97%</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9.90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9.68</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9.68</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9.58</w:t>
            </w: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98.97%</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70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济困帮扶和慰问知名人士（社员）25人、提交政协提案和人大建议10件、组织社员开展活动80人次。</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济困帮扶和慰问知名人士（社员）32人、提交政协提案和人大建议16件、组织社员开展活动320人次。</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绩</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效</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777"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25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kern w:val="0"/>
                <w:sz w:val="18"/>
                <w:szCs w:val="18"/>
              </w:rPr>
              <w:t>济困帮扶和慰问知名人士（社员）</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834"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指标2</w:t>
            </w:r>
            <w:r>
              <w:rPr>
                <w:rFonts w:hint="eastAsia" w:ascii="宋体" w:hAnsi="宋体" w:eastAsia="宋体" w:cs="宋体"/>
                <w:color w:val="000000"/>
                <w:kern w:val="0"/>
                <w:sz w:val="18"/>
                <w:szCs w:val="18"/>
              </w:rPr>
              <w:t>：提交政协提案和人大建议</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989"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指标3：</w:t>
            </w:r>
            <w:r>
              <w:rPr>
                <w:rFonts w:hint="eastAsia" w:ascii="宋体" w:hAnsi="宋体" w:eastAsia="宋体" w:cs="宋体"/>
                <w:color w:val="000000"/>
                <w:kern w:val="0"/>
                <w:sz w:val="18"/>
                <w:szCs w:val="18"/>
              </w:rPr>
              <w:t>组织社员开展活动</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320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25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指标1：加强组织凝聚力（慰问）</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852"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指标2：加强党派自身建设（活动）</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592"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指标3：解决民生问题</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576"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5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指标1：慰问人员满意度</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576"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指标2：政协委员满意度</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618"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指标3：社员满意度</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731"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99.90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auto"/>
                <w:kern w:val="0"/>
                <w:sz w:val="18"/>
                <w:szCs w:val="18"/>
              </w:rPr>
            </w:pPr>
          </w:p>
        </w:tc>
      </w:tr>
    </w:tbl>
    <w:p>
      <w:pPr>
        <w:rPr>
          <w:rFonts w:ascii="黑体" w:hAnsi="黑体" w:eastAsia="黑体"/>
        </w:rPr>
        <w:sectPr>
          <w:footerReference r:id="rId3" w:type="default"/>
          <w:footerReference r:id="rId4" w:type="even"/>
          <w:pgSz w:w="11906" w:h="16838"/>
          <w:pgMar w:top="2098" w:right="1474" w:bottom="1985" w:left="1588" w:header="851" w:footer="1134" w:gutter="0"/>
          <w:cols w:space="720" w:num="1"/>
          <w:docGrid w:type="lines" w:linePitch="312" w:charSpace="0"/>
        </w:sectPr>
      </w:pPr>
    </w:p>
    <w:p>
      <w:pPr>
        <w:spacing w:line="552" w:lineRule="exact"/>
        <w:rPr>
          <w:rFonts w:ascii="黑体" w:hAnsi="黑体" w:eastAsia="黑体"/>
          <w:szCs w:val="32"/>
        </w:rPr>
      </w:pPr>
      <w:r>
        <w:rPr>
          <w:rFonts w:hint="eastAsia" w:ascii="黑体" w:hAnsi="黑体" w:eastAsia="黑体"/>
          <w:szCs w:val="32"/>
        </w:rPr>
        <w:t>附件4</w:t>
      </w:r>
    </w:p>
    <w:p>
      <w:pPr>
        <w:spacing w:line="552" w:lineRule="exact"/>
        <w:rPr>
          <w:rFonts w:ascii="宋体" w:hAnsi="宋体" w:cs="Arial"/>
          <w:b/>
          <w:bCs/>
          <w:sz w:val="36"/>
          <w:szCs w:val="36"/>
        </w:rPr>
      </w:pPr>
    </w:p>
    <w:p>
      <w:pPr>
        <w:spacing w:line="552" w:lineRule="exact"/>
        <w:ind w:firstLine="883" w:firstLineChars="200"/>
        <w:jc w:val="center"/>
        <w:outlineLvl w:val="0"/>
        <w:rPr>
          <w:rFonts w:ascii="宋体" w:hAnsi="宋体" w:eastAsia="宋体" w:cs="宋体"/>
          <w:b/>
          <w:bCs/>
          <w:sz w:val="44"/>
          <w:szCs w:val="44"/>
        </w:rPr>
      </w:pPr>
      <w:r>
        <w:rPr>
          <w:rFonts w:hint="eastAsia" w:ascii="宋体" w:hAnsi="宋体" w:eastAsia="宋体" w:cs="宋体"/>
          <w:b/>
          <w:bCs/>
          <w:sz w:val="44"/>
          <w:szCs w:val="44"/>
        </w:rPr>
        <w:t>项目支出绩效评价报告</w:t>
      </w:r>
    </w:p>
    <w:p>
      <w:pPr>
        <w:pStyle w:val="2"/>
      </w:pPr>
    </w:p>
    <w:p>
      <w:pPr>
        <w:spacing w:line="552" w:lineRule="exact"/>
        <w:ind w:firstLine="640" w:firstLineChars="200"/>
        <w:rPr>
          <w:rFonts w:ascii="黑体" w:hAnsi="仿宋" w:eastAsia="黑体"/>
          <w:szCs w:val="32"/>
        </w:rPr>
      </w:pPr>
      <w:r>
        <w:rPr>
          <w:rFonts w:hint="eastAsia" w:ascii="黑体" w:hAnsi="仿宋" w:eastAsia="黑体"/>
          <w:szCs w:val="32"/>
        </w:rPr>
        <w:t>一、基本情况</w:t>
      </w:r>
    </w:p>
    <w:p>
      <w:pPr>
        <w:spacing w:line="552" w:lineRule="exact"/>
        <w:ind w:firstLine="640" w:firstLineChars="200"/>
        <w:outlineLvl w:val="0"/>
        <w:rPr>
          <w:rFonts w:hAnsi="仿宋"/>
          <w:szCs w:val="32"/>
        </w:rPr>
      </w:pPr>
      <w:r>
        <w:rPr>
          <w:rFonts w:hint="eastAsia" w:hAnsi="仿宋"/>
          <w:szCs w:val="32"/>
        </w:rPr>
        <w:t>（一）项目概况</w:t>
      </w:r>
    </w:p>
    <w:p>
      <w:pPr>
        <w:spacing w:line="552" w:lineRule="exact"/>
        <w:ind w:firstLine="640" w:firstLineChars="200"/>
        <w:outlineLvl w:val="0"/>
        <w:rPr>
          <w:rFonts w:hAnsi="仿宋"/>
          <w:szCs w:val="32"/>
        </w:rPr>
      </w:pPr>
      <w:r>
        <w:rPr>
          <w:rFonts w:hint="eastAsia" w:hAnsi="仿宋"/>
          <w:szCs w:val="32"/>
        </w:rPr>
        <w:t>1.项目背景：</w:t>
      </w:r>
    </w:p>
    <w:p>
      <w:pPr>
        <w:ind w:firstLine="640" w:firstLineChars="200"/>
        <w:rPr>
          <w:rFonts w:ascii="仿宋" w:hAnsi="仿宋" w:eastAsia="仿宋"/>
          <w:color w:val="000000"/>
          <w:szCs w:val="32"/>
        </w:rPr>
      </w:pPr>
      <w:r>
        <w:rPr>
          <w:rFonts w:hint="eastAsia" w:ascii="仿宋" w:hAnsi="仿宋" w:eastAsia="仿宋"/>
          <w:color w:val="000000"/>
          <w:szCs w:val="32"/>
        </w:rPr>
        <w:t>九三学社海口市委员会是九三学社的地方组织。其主要职能是：履行参政议政、民主监督职能；参与中共海口市委、市政府重大决策的研究工作，对社会重大、热点问题进行调查研究，提出建议及意见；领导我市九三学社各基层组织开展工作，为九三学社海口市委开展的各项工作做好服务工作；承办九三学社中央及省委、中共海口市委交办的其他任务。</w:t>
      </w:r>
    </w:p>
    <w:p>
      <w:pPr>
        <w:spacing w:line="552" w:lineRule="exact"/>
        <w:ind w:firstLine="640" w:firstLineChars="200"/>
        <w:outlineLvl w:val="0"/>
        <w:rPr>
          <w:rFonts w:hAnsi="仿宋"/>
          <w:szCs w:val="32"/>
        </w:rPr>
      </w:pPr>
      <w:r>
        <w:rPr>
          <w:rFonts w:hint="eastAsia" w:ascii="仿宋" w:hAnsi="仿宋" w:eastAsia="仿宋" w:cs="仿宋"/>
          <w:szCs w:val="32"/>
        </w:rPr>
        <w:t>2.</w:t>
      </w:r>
      <w:r>
        <w:rPr>
          <w:rFonts w:hint="eastAsia" w:hAnsi="仿宋"/>
          <w:szCs w:val="32"/>
        </w:rPr>
        <w:t>主要内容及实施情况：</w:t>
      </w:r>
      <w:r>
        <w:rPr>
          <w:rFonts w:hint="eastAsia" w:ascii="仿宋" w:hAnsi="仿宋" w:eastAsia="仿宋" w:cs="仿宋"/>
          <w:szCs w:val="32"/>
        </w:rPr>
        <w:t>我单位按照九三学社海南省委和中共海口市委工作部署，严格执行《中共中央关于坚持和完善中国共产党领导的多党合作和政治协商制度的意见》和《九三学社章程》规定的政治协商、民主监督、参政议政职能。通过开展调研、义诊，组织社员培训等做好本身职能工作；同时做好社会文明大行动、扶贫等中共海口市委交办的工作。</w:t>
      </w:r>
    </w:p>
    <w:p>
      <w:pPr>
        <w:spacing w:line="560" w:lineRule="exact"/>
        <w:ind w:firstLine="640" w:firstLineChars="200"/>
        <w:rPr>
          <w:rFonts w:ascii="仿宋" w:hAnsi="仿宋" w:eastAsia="仿宋" w:cs="仿宋"/>
          <w:szCs w:val="32"/>
        </w:rPr>
      </w:pPr>
      <w:r>
        <w:rPr>
          <w:rFonts w:hint="eastAsia" w:ascii="仿宋" w:hAnsi="仿宋" w:eastAsia="仿宋" w:cs="仿宋"/>
          <w:szCs w:val="32"/>
        </w:rPr>
        <w:t>3、</w:t>
      </w:r>
      <w:r>
        <w:rPr>
          <w:rFonts w:hint="eastAsia" w:hAnsi="仿宋"/>
          <w:szCs w:val="32"/>
        </w:rPr>
        <w:t>资金投入和使用情况：</w:t>
      </w:r>
      <w:r>
        <w:rPr>
          <w:rFonts w:hint="eastAsia" w:ascii="仿宋" w:hAnsi="仿宋" w:eastAsia="仿宋" w:cs="仿宋"/>
          <w:szCs w:val="32"/>
        </w:rPr>
        <w:t>民主党派事务经费2021年预算9.68万元，上述项目资金在当年已由市财政局下达到九三学社海口市委员会零余额账户9.68万元。2021年，民主党派事务项目使用资金9.58万元，完成率98.97%。</w:t>
      </w:r>
    </w:p>
    <w:p>
      <w:pPr>
        <w:spacing w:line="552" w:lineRule="exact"/>
        <w:ind w:firstLine="640" w:firstLineChars="200"/>
        <w:rPr>
          <w:rFonts w:hAnsi="仿宋"/>
          <w:szCs w:val="32"/>
        </w:rPr>
      </w:pPr>
      <w:r>
        <w:rPr>
          <w:rFonts w:hint="eastAsia" w:hAnsi="仿宋"/>
          <w:szCs w:val="32"/>
        </w:rPr>
        <w:t>（二）项目绩效目标</w:t>
      </w:r>
    </w:p>
    <w:p>
      <w:pPr>
        <w:spacing w:line="560" w:lineRule="exact"/>
        <w:ind w:firstLine="640" w:firstLineChars="200"/>
        <w:rPr>
          <w:rFonts w:hAnsi="仿宋_GB2312" w:cs="仿宋_GB2312"/>
          <w:szCs w:val="32"/>
        </w:rPr>
      </w:pPr>
      <w:r>
        <w:rPr>
          <w:rFonts w:hint="eastAsia" w:hAnsi="仿宋_GB2312" w:cs="仿宋_GB2312"/>
          <w:szCs w:val="32"/>
        </w:rPr>
        <w:t>1.</w:t>
      </w:r>
      <w:r>
        <w:rPr>
          <w:rFonts w:hint="eastAsia" w:ascii="仿宋" w:hAnsi="仿宋" w:eastAsia="仿宋" w:cs="仿宋"/>
          <w:szCs w:val="32"/>
        </w:rPr>
        <w:t>民主党派事务项目为经常性项目，非跨年度项目。</w:t>
      </w:r>
    </w:p>
    <w:p>
      <w:pPr>
        <w:spacing w:line="552" w:lineRule="exact"/>
        <w:ind w:firstLine="640" w:firstLineChars="200"/>
        <w:rPr>
          <w:rFonts w:ascii="仿宋" w:hAnsi="仿宋" w:eastAsia="仿宋"/>
          <w:szCs w:val="32"/>
        </w:rPr>
      </w:pPr>
      <w:r>
        <w:rPr>
          <w:rFonts w:hint="eastAsia" w:hAnsi="仿宋"/>
          <w:szCs w:val="32"/>
        </w:rPr>
        <w:t>2.总体目标：</w:t>
      </w:r>
      <w:r>
        <w:rPr>
          <w:rFonts w:hint="eastAsia" w:ascii="仿宋" w:hAnsi="仿宋" w:eastAsia="仿宋"/>
          <w:szCs w:val="32"/>
        </w:rPr>
        <w:t>济困帮扶和慰问知名人士（社员）、提交政协提案和人大建议、组织社员开展活动。</w:t>
      </w:r>
    </w:p>
    <w:p>
      <w:pPr>
        <w:spacing w:line="552" w:lineRule="exact"/>
        <w:ind w:firstLine="640" w:firstLineChars="200"/>
        <w:rPr>
          <w:rFonts w:ascii="仿宋" w:hAnsi="仿宋" w:eastAsia="仿宋"/>
          <w:szCs w:val="32"/>
        </w:rPr>
      </w:pPr>
      <w:r>
        <w:rPr>
          <w:rFonts w:hint="eastAsia" w:eastAsia="仿宋"/>
          <w:szCs w:val="32"/>
        </w:rPr>
        <w:t>3.</w:t>
      </w:r>
      <w:r>
        <w:rPr>
          <w:rFonts w:hint="eastAsia" w:ascii="仿宋" w:hAnsi="仿宋" w:eastAsia="仿宋"/>
          <w:szCs w:val="32"/>
        </w:rPr>
        <w:t>2021年年度目标：济困帮扶和慰问知名人士（社员）、提交政协提案和人大建议、组织社员开展活动。</w:t>
      </w:r>
    </w:p>
    <w:p>
      <w:pPr>
        <w:spacing w:line="552" w:lineRule="exact"/>
        <w:ind w:firstLine="640" w:firstLineChars="200"/>
        <w:rPr>
          <w:rFonts w:ascii="黑体" w:hAnsi="仿宋" w:eastAsia="黑体"/>
          <w:szCs w:val="32"/>
        </w:rPr>
      </w:pPr>
      <w:r>
        <w:rPr>
          <w:rFonts w:hint="eastAsia" w:ascii="黑体" w:hAnsi="仿宋" w:eastAsia="黑体"/>
          <w:szCs w:val="32"/>
        </w:rPr>
        <w:t>二、绩效评价工作开展情况</w:t>
      </w:r>
    </w:p>
    <w:p>
      <w:pPr>
        <w:pStyle w:val="3"/>
        <w:keepNext w:val="0"/>
        <w:keepLines w:val="0"/>
        <w:widowControl/>
        <w:shd w:val="clear" w:color="auto" w:fill="FFFFFF"/>
        <w:spacing w:before="0" w:after="0"/>
        <w:ind w:firstLine="640"/>
        <w:rPr>
          <w:rFonts w:hAnsi="仿宋"/>
          <w:szCs w:val="32"/>
        </w:rPr>
      </w:pPr>
      <w:r>
        <w:rPr>
          <w:rFonts w:hint="eastAsia" w:ascii="仿宋_GB2312" w:hAnsi="仿宋" w:eastAsia="仿宋_GB2312"/>
          <w:b w:val="0"/>
          <w:szCs w:val="32"/>
        </w:rPr>
        <w:t>（一）绩效评价的目的</w:t>
      </w:r>
      <w:r>
        <w:rPr>
          <w:rFonts w:ascii="仿宋_GB2312" w:hAnsi="仿宋" w:eastAsia="仿宋_GB2312"/>
          <w:b w:val="0"/>
          <w:szCs w:val="32"/>
        </w:rPr>
        <w:t>、对象和范围</w:t>
      </w:r>
    </w:p>
    <w:p>
      <w:pPr>
        <w:spacing w:line="552" w:lineRule="exact"/>
        <w:ind w:firstLine="640" w:firstLineChars="200"/>
        <w:rPr>
          <w:rFonts w:ascii="仿宋" w:hAnsi="仿宋" w:eastAsia="仿宋"/>
          <w:szCs w:val="32"/>
        </w:rPr>
      </w:pPr>
      <w:r>
        <w:rPr>
          <w:rFonts w:hint="eastAsia" w:hAnsi="仿宋"/>
          <w:szCs w:val="32"/>
        </w:rPr>
        <w:t>1.绩效评价目的：</w:t>
      </w:r>
      <w:r>
        <w:rPr>
          <w:rFonts w:hint="eastAsia" w:ascii="仿宋" w:hAnsi="仿宋" w:eastAsia="仿宋"/>
          <w:szCs w:val="32"/>
        </w:rPr>
        <w:t>为全面了解该项目预算编制合理性、资金使用合规性、项目管理的规范性、项目目标的实现情况、服务对象的满意度等，通过本次部门绩效评价来总结经验和教训，促进项目成果转化和应用，为今后类似项目的长效管理，提供可行性参考建议。</w:t>
      </w:r>
    </w:p>
    <w:p>
      <w:pPr>
        <w:spacing w:line="552" w:lineRule="exact"/>
        <w:ind w:firstLine="640" w:firstLineChars="200"/>
        <w:rPr>
          <w:rFonts w:ascii="仿宋" w:hAnsi="仿宋" w:eastAsia="仿宋"/>
          <w:szCs w:val="32"/>
        </w:rPr>
      </w:pPr>
      <w:r>
        <w:rPr>
          <w:rFonts w:hint="eastAsia" w:hAnsi="仿宋"/>
          <w:szCs w:val="32"/>
        </w:rPr>
        <w:t>2.对象和范围：</w:t>
      </w:r>
      <w:r>
        <w:rPr>
          <w:rFonts w:hint="eastAsia" w:ascii="仿宋" w:hAnsi="仿宋" w:eastAsia="仿宋"/>
          <w:szCs w:val="32"/>
        </w:rPr>
        <w:t>此次我单位根据海南省财政厅关于印发《海南省项目支出绩效评价管理实施办法》（</w:t>
      </w:r>
      <w:bookmarkStart w:id="0" w:name="字号"/>
      <w:r>
        <w:rPr>
          <w:rFonts w:hint="eastAsia"/>
        </w:rPr>
        <w:t>琼财绩</w:t>
      </w:r>
      <w:bookmarkEnd w:id="0"/>
      <w:r>
        <w:rPr>
          <w:rFonts w:hint="eastAsia"/>
        </w:rPr>
        <w:t>〔</w:t>
      </w:r>
      <w:bookmarkStart w:id="1" w:name="年"/>
      <w:r>
        <w:t>2020</w:t>
      </w:r>
      <w:bookmarkEnd w:id="1"/>
      <w:r>
        <w:rPr>
          <w:rFonts w:hint="eastAsia"/>
        </w:rPr>
        <w:t>〕</w:t>
      </w:r>
      <w:bookmarkStart w:id="2" w:name="文号"/>
      <w:r>
        <w:rPr>
          <w:rFonts w:hint="eastAsia"/>
        </w:rPr>
        <w:t>594</w:t>
      </w:r>
      <w:bookmarkEnd w:id="2"/>
      <w:r>
        <w:rPr>
          <w:rFonts w:hint="eastAsia"/>
        </w:rPr>
        <w:t>号</w:t>
      </w:r>
      <w:r>
        <w:rPr>
          <w:rFonts w:hint="eastAsia" w:ascii="仿宋" w:hAnsi="仿宋" w:eastAsia="仿宋"/>
          <w:szCs w:val="32"/>
        </w:rPr>
        <w:t>）文件要求对</w:t>
      </w:r>
      <w:r>
        <w:rPr>
          <w:rFonts w:ascii="仿宋" w:hAnsi="仿宋" w:eastAsia="仿宋"/>
          <w:szCs w:val="32"/>
        </w:rPr>
        <w:t>2021</w:t>
      </w:r>
      <w:r>
        <w:rPr>
          <w:rFonts w:hint="eastAsia" w:ascii="仿宋" w:hAnsi="仿宋" w:eastAsia="仿宋"/>
          <w:szCs w:val="32"/>
        </w:rPr>
        <w:t>年度我单位实施的民主党派事务项目开展部门绩效评价，本次绩效评价主要围绕项目</w:t>
      </w:r>
      <w:r>
        <w:rPr>
          <w:rFonts w:ascii="仿宋" w:hAnsi="仿宋" w:eastAsia="仿宋"/>
          <w:szCs w:val="32"/>
        </w:rPr>
        <w:t>资金使用情况、财务管理状况及其收益管理情况；项目管理相关制度及措施是否被认真执行；绩效目标的实现程度，包括是否达到预定产出和效果等方面进行部门绩效评价。</w:t>
      </w:r>
    </w:p>
    <w:p>
      <w:pPr>
        <w:spacing w:line="552" w:lineRule="exact"/>
        <w:ind w:firstLine="640" w:firstLineChars="200"/>
        <w:rPr>
          <w:rFonts w:hAnsi="仿宋"/>
          <w:szCs w:val="32"/>
        </w:rPr>
      </w:pPr>
      <w:r>
        <w:rPr>
          <w:rFonts w:hint="eastAsia" w:hAnsi="仿宋"/>
          <w:szCs w:val="32"/>
        </w:rPr>
        <w:t>（二）绩效评价原则、评价指标体系（附表说明）、评价方法、评价标准等</w:t>
      </w:r>
    </w:p>
    <w:p>
      <w:pPr>
        <w:pStyle w:val="2"/>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1.绩效评价原则：</w:t>
      </w:r>
      <w:r>
        <w:rPr>
          <w:rFonts w:ascii="仿宋_GB2312" w:hAnsi="宋体" w:cs="仿宋_GB2312"/>
          <w:color w:val="555555"/>
          <w:sz w:val="32"/>
          <w:szCs w:val="32"/>
          <w:shd w:val="clear" w:color="auto" w:fill="FFFFFF"/>
        </w:rPr>
        <w:t>依</w:t>
      </w:r>
      <w:r>
        <w:rPr>
          <w:rFonts w:hint="eastAsia" w:ascii="仿宋_GB2312" w:cs="Times New Roman"/>
          <w:color w:val="auto"/>
          <w:kern w:val="2"/>
          <w:sz w:val="32"/>
          <w:szCs w:val="32"/>
        </w:rPr>
        <w:t>据《中共海南省委、海南省人民政府关于海南省全面实施预算绩效管理的意见》(琼发〔2019〕18号)、《财政部关于印发&lt;项目支出绩效评价管理办法&gt;的通知》（财预〔2020〕10 号）、海南省财政厅关于印发《海南省项目支出绩效评价管理实施办法》（琼财绩〔2020〕594号）等要求，本次绩效评价秉承科学规范、公正公开、分级分类、绩效相关等原则，按照从投入、过程到产出效果和影响的绩效逻辑路径，结合</w:t>
      </w:r>
      <w:r>
        <w:rPr>
          <w:rFonts w:ascii="仿宋_GB2312" w:cs="Times New Roman"/>
          <w:color w:val="auto"/>
          <w:kern w:val="2"/>
          <w:sz w:val="32"/>
          <w:szCs w:val="32"/>
        </w:rPr>
        <w:t>2021年</w:t>
      </w:r>
      <w:r>
        <w:rPr>
          <w:rFonts w:hint="eastAsia" w:ascii="仿宋_GB2312" w:cs="Times New Roman"/>
          <w:color w:val="auto"/>
          <w:kern w:val="2"/>
          <w:sz w:val="32"/>
          <w:szCs w:val="32"/>
        </w:rPr>
        <w:t>民主党派事务</w:t>
      </w:r>
      <w:r>
        <w:rPr>
          <w:rFonts w:ascii="仿宋_GB2312" w:cs="Times New Roman"/>
          <w:color w:val="auto"/>
          <w:kern w:val="2"/>
          <w:sz w:val="32"/>
          <w:szCs w:val="32"/>
        </w:rPr>
        <w:t>项目实际开展情况，运用定量和定性分析相结合的方法，总结经验做法，反思项目实施和管理中的问题，以切实提升财政资金管理的科学化、规范化和精细化水平。</w:t>
      </w:r>
    </w:p>
    <w:p>
      <w:pPr>
        <w:pStyle w:val="2"/>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2.评价指标体系（附表说明）</w:t>
      </w:r>
    </w:p>
    <w:p>
      <w:pPr>
        <w:pStyle w:val="2"/>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我单位</w:t>
      </w:r>
      <w:r>
        <w:rPr>
          <w:rFonts w:ascii="仿宋_GB2312" w:cs="Times New Roman"/>
          <w:color w:val="auto"/>
          <w:kern w:val="2"/>
          <w:sz w:val="32"/>
          <w:szCs w:val="32"/>
        </w:rPr>
        <w:t>根据项目的实施资料研读及前期调研，结合项目的实际开展情况，将项目的指标体系进行了调整和完善，最终形成了项目绩效评价指标体系，指标体系结构如下：</w:t>
      </w:r>
    </w:p>
    <w:tbl>
      <w:tblPr>
        <w:tblStyle w:val="8"/>
        <w:tblW w:w="1445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29"/>
        <w:gridCol w:w="1061"/>
        <w:gridCol w:w="1500"/>
        <w:gridCol w:w="2965"/>
        <w:gridCol w:w="78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blHeader/>
          <w:jc w:val="center"/>
        </w:trPr>
        <w:tc>
          <w:tcPr>
            <w:tcW w:w="1129"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1061"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1500"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2965"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w:t>
            </w:r>
          </w:p>
        </w:tc>
        <w:tc>
          <w:tcPr>
            <w:tcW w:w="7804"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决策　（15分）</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项目立项（5分）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立项依据</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充分性（2.5分）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项目立项是否符合法律法规、相关政策、发展规划以及部门职责，用以反映和考核项目立项依据情况。</w:t>
            </w:r>
          </w:p>
        </w:tc>
        <w:tc>
          <w:tcPr>
            <w:tcW w:w="7804" w:type="dxa"/>
            <w:shd w:val="clear" w:color="auto"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①项目立项是否符合国家法律法规、国民经济发展规划和相关政策；</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②项目立项是否符合行业发展规划和政策要求；</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③项目立项是否与部门职责范围相符，属于部门履职所需；</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④项目是否属于公共财政支持范围，是否符合中央、地方事权支出责任划分原则；</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立项程序</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规范性（2.5分）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项目申请、设立过程是否符合相关要求，用以反映和考核项目立项的规范情况。</w:t>
            </w:r>
          </w:p>
        </w:tc>
        <w:tc>
          <w:tcPr>
            <w:tcW w:w="7804" w:type="dxa"/>
            <w:shd w:val="clear" w:color="auto"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①项目是否按照规定的程序申请设立；</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②审批文件、材料是否符合相关要求；</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③事前是否已经过必要的可行性研究、专家论证、风险评估、绩效评估、集体决策。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绩效目标（5分）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合理性（2.5分）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项目所设定的绩效目标是否依据充分，是否符合客观实际，用以反映和考核项目绩效目标与项目实施的相符情况。</w:t>
            </w:r>
          </w:p>
        </w:tc>
        <w:tc>
          <w:tcPr>
            <w:tcW w:w="7804" w:type="dxa"/>
            <w:shd w:val="clear" w:color="000000"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（如未设定预算绩效目标，也可考核其他工作任务目标）</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①项目是否有绩效目标；</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②项目绩效目标与实际工作内容是否具有相关性；</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③项目预期产出效益和效果是否符合正常的业绩水平；</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明确性（2.5分）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依据绩效目标设定的绩效指标是否清晰、细化、可衡量等，用以反映和考核项目绩效目标的明细化情况。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①是否将项目绩效目标细化分解为具体的绩效指标；</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②是否通过清晰、可衡量的指标值予以体现；</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③是否与项目目标任务数或计划数相对应。</w:t>
            </w:r>
          </w:p>
          <w:p>
            <w:pPr>
              <w:pStyle w:val="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资金投入（5分）</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预算编制</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科学性（2.5分）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项目预算编制是否经过科学论证、有明确标准，资金额度与年度目标是否相适应，用以反映和考核项目预算编制的科学性、合理性情况。</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①预算编制是否经过科学论证；</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②预算内容与项目内容是否匹配；</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③预算额度测算依据是否充分，是否按照标准编制；</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资金分配</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合理性（2.5分）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项目预算资金分配是否有测算依据，与补助单位或地方实际是否相适应，用以反映和考核项目预算资金分配的科学性、合理性情况。</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①预算资金分配依据是否充分；</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②资金分配额度是否合理，与项目单位或地方实际是否相适应。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过程（25分）</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资金管理（10分）</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实际到位资金与预算资金的比率，用以反映和考核资金落实情况对项目实施的总体保障程度。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资金到位率=（实际到位资金/预算资金）×100%。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实际到位资金：一定时期（本年度或项目期）内落实到具体项目的资金。</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预算资金：一定时期（本年度或项目期）内预算安排到具体项目的资金。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项目预算资金是否按照计划执行，用以反映或考核项目预算执行情况。</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预算执行率=（实际支出资金/实际到位资金）×100%。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资金管理（5分）</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资金使用</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合规性（5分）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项目资金使用是否符合相关的财务管理制度规定，用以反映和考核项目资金的规范运行情况。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①是否符合国家财经法规和财务管理制度以及有关专项资金管理办法的规定；</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②资金的拨付是否有完整的审批程序和手续；</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③是否符合项目预算批复或合同规定的用途；</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组织实施（10分）</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管理制度</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健全性（5分）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项目实施单位的财务和业务管理制度是否健全，用以反映和考核财务和业务管理制度对项目顺利实施的保障情况。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①是否已制定或具有相应的财务和业务管理制度；</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制度执行</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有效性（5分）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项目实施是否符合相关管理规定，用以反映和考核相关管理制度的有效执行情况。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①是否遵守相关法律法规和相关管理规定；</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②项目调整及支出调整手续是否完备；</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③项目合同书、验收报告、技术鉴定等资料是否齐全并及时归档；</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97"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产出（30分）</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产出数量（30分）</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实际完成率（30分）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项目实施的实际产出数与计划产出数的比率，用以反映和考核项目产出数量目标的实现程度。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实际完成率=（实际产出数/计划产出数）×100%。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2"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效益（30分）　</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项目效益（30分）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实施效益（15分）</w:t>
            </w:r>
          </w:p>
        </w:tc>
        <w:tc>
          <w:tcPr>
            <w:tcW w:w="2965" w:type="dxa"/>
            <w:shd w:val="clear" w:color="auto"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项目实施所产生的效益。</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项目实施所产生的社会效益。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满意度（15分）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服务对象对项目实施效果的满意程度。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服务对象是指因该项目实施而受到影响的部门（单位）、群体或个人。一般采取社会调查的方式。</w:t>
            </w:r>
          </w:p>
        </w:tc>
      </w:tr>
    </w:tbl>
    <w:p>
      <w:pPr>
        <w:pStyle w:val="2"/>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3.评价方法：本次绩效评价采用的方法是比较法、</w:t>
      </w:r>
      <w:r>
        <w:rPr>
          <w:rFonts w:hint="eastAsia"/>
          <w:sz w:val="32"/>
          <w:szCs w:val="32"/>
        </w:rPr>
        <w:t>公众评判法</w:t>
      </w:r>
      <w:r>
        <w:rPr>
          <w:rFonts w:hint="eastAsia" w:ascii="仿宋_GB2312" w:cs="Times New Roman"/>
          <w:color w:val="auto"/>
          <w:kern w:val="2"/>
          <w:sz w:val="32"/>
          <w:szCs w:val="32"/>
        </w:rPr>
        <w:t>对项目绩效目标预期指标值与实施情况进行比较的方式进行评判的方法对该项目进行评价。</w:t>
      </w:r>
    </w:p>
    <w:p>
      <w:pPr>
        <w:pStyle w:val="2"/>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4.评价标准：本次绩效评价采用的标准计划标准对绩效指标完成情况进行对比。</w:t>
      </w:r>
    </w:p>
    <w:p>
      <w:pPr>
        <w:spacing w:line="552" w:lineRule="exact"/>
        <w:ind w:firstLine="640" w:firstLineChars="200"/>
        <w:rPr>
          <w:rFonts w:hAnsi="仿宋"/>
          <w:szCs w:val="32"/>
        </w:rPr>
      </w:pPr>
      <w:r>
        <w:rPr>
          <w:rFonts w:hint="eastAsia" w:hAnsi="仿宋"/>
          <w:szCs w:val="32"/>
        </w:rPr>
        <w:t>（三）绩效评价工作过程</w:t>
      </w:r>
      <w:bookmarkStart w:id="3" w:name="_GoBack"/>
      <w:bookmarkEnd w:id="3"/>
    </w:p>
    <w:p>
      <w:pPr>
        <w:pStyle w:val="2"/>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本次评价成立了</w:t>
      </w:r>
      <w:r>
        <w:rPr>
          <w:rFonts w:ascii="仿宋_GB2312" w:cs="Times New Roman"/>
          <w:color w:val="auto"/>
          <w:kern w:val="2"/>
          <w:sz w:val="32"/>
          <w:szCs w:val="32"/>
        </w:rPr>
        <w:t>评价工作组，成员如下：</w:t>
      </w:r>
    </w:p>
    <w:p>
      <w:pPr>
        <w:pStyle w:val="2"/>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杜富殿  评价组组长 部署和管理绩效考核工作，对</w:t>
      </w:r>
      <w:r>
        <w:rPr>
          <w:rFonts w:ascii="仿宋_GB2312" w:cs="Times New Roman"/>
          <w:color w:val="auto"/>
          <w:kern w:val="2"/>
          <w:sz w:val="32"/>
          <w:szCs w:val="32"/>
        </w:rPr>
        <w:t>项目进行绩效考核评价，对考核结果进行审核，对项目工作进行指导，促进整体绩效目标的达成和提高。</w:t>
      </w:r>
    </w:p>
    <w:p>
      <w:pPr>
        <w:pStyle w:val="2"/>
        <w:ind w:firstLine="640" w:firstLineChars="200"/>
        <w:rPr>
          <w:rFonts w:hint="eastAsia" w:ascii="仿宋_GB2312" w:cs="Times New Roman"/>
          <w:color w:val="auto"/>
          <w:kern w:val="2"/>
          <w:sz w:val="32"/>
          <w:szCs w:val="32"/>
        </w:rPr>
      </w:pPr>
      <w:r>
        <w:rPr>
          <w:rFonts w:hint="eastAsia" w:ascii="仿宋_GB2312" w:cs="Times New Roman"/>
          <w:color w:val="auto"/>
          <w:kern w:val="2"/>
          <w:sz w:val="32"/>
          <w:szCs w:val="32"/>
        </w:rPr>
        <w:t>邝红梅  评价组成员 负责找出相关项目绩效评价的资料汇总分析和实施项目绩效评价报告的撰写。</w:t>
      </w:r>
    </w:p>
    <w:p>
      <w:pPr>
        <w:pStyle w:val="2"/>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李振昊  评价组成员 负责依据考评原则和考评程序</w:t>
      </w:r>
      <w:r>
        <w:rPr>
          <w:rFonts w:ascii="仿宋_GB2312" w:cs="Times New Roman"/>
          <w:color w:val="auto"/>
          <w:kern w:val="2"/>
          <w:sz w:val="32"/>
          <w:szCs w:val="32"/>
        </w:rPr>
        <w:t>,对项目绩效考核</w:t>
      </w:r>
      <w:r>
        <w:rPr>
          <w:rFonts w:hint="eastAsia" w:ascii="仿宋_GB2312" w:cs="Times New Roman"/>
          <w:color w:val="auto"/>
          <w:kern w:val="2"/>
          <w:sz w:val="32"/>
          <w:szCs w:val="32"/>
          <w:lang w:val="en-US" w:eastAsia="zh-CN"/>
        </w:rPr>
        <w:t>提供</w:t>
      </w:r>
      <w:r>
        <w:rPr>
          <w:rFonts w:ascii="仿宋_GB2312" w:cs="Times New Roman"/>
          <w:color w:val="auto"/>
          <w:kern w:val="2"/>
          <w:sz w:val="32"/>
          <w:szCs w:val="32"/>
        </w:rPr>
        <w:t>评价</w:t>
      </w:r>
      <w:r>
        <w:rPr>
          <w:rFonts w:hint="eastAsia" w:ascii="仿宋_GB2312" w:cs="Times New Roman"/>
          <w:color w:val="auto"/>
          <w:kern w:val="2"/>
          <w:sz w:val="32"/>
          <w:szCs w:val="32"/>
          <w:lang w:val="en-US" w:eastAsia="zh-CN"/>
        </w:rPr>
        <w:t>建议</w:t>
      </w:r>
      <w:r>
        <w:rPr>
          <w:rFonts w:ascii="仿宋_GB2312" w:cs="Times New Roman"/>
          <w:color w:val="auto"/>
          <w:kern w:val="2"/>
          <w:sz w:val="32"/>
          <w:szCs w:val="32"/>
        </w:rPr>
        <w:t>，及时沟通,提供反馈。</w:t>
      </w:r>
    </w:p>
    <w:p>
      <w:pPr>
        <w:numPr>
          <w:ilvl w:val="0"/>
          <w:numId w:val="1"/>
        </w:numPr>
        <w:spacing w:line="552" w:lineRule="exact"/>
        <w:ind w:firstLine="640" w:firstLineChars="200"/>
        <w:rPr>
          <w:rFonts w:ascii="黑体" w:hAnsi="仿宋" w:eastAsia="黑体"/>
          <w:szCs w:val="32"/>
        </w:rPr>
      </w:pPr>
      <w:r>
        <w:rPr>
          <w:rFonts w:hint="eastAsia" w:ascii="黑体" w:hAnsi="仿宋" w:eastAsia="黑体"/>
          <w:szCs w:val="32"/>
        </w:rPr>
        <w:t>综合评价情况及评价结论（附相关评分表）</w:t>
      </w:r>
    </w:p>
    <w:p>
      <w:pPr>
        <w:ind w:firstLine="640"/>
        <w:rPr>
          <w:szCs w:val="32"/>
          <w:lang w:val="zh-TW"/>
        </w:rPr>
      </w:pPr>
      <w:r>
        <w:rPr>
          <w:rFonts w:hint="eastAsia"/>
          <w:szCs w:val="32"/>
        </w:rPr>
        <w:t>此次绩效评价</w:t>
      </w:r>
      <w:r>
        <w:rPr>
          <w:rFonts w:hint="eastAsia"/>
          <w:szCs w:val="32"/>
          <w:lang w:val="zh-TW" w:eastAsia="zh-TW"/>
        </w:rPr>
        <w:t>通过</w:t>
      </w:r>
      <w:r>
        <w:rPr>
          <w:rFonts w:hint="eastAsia"/>
          <w:szCs w:val="32"/>
        </w:rPr>
        <w:t>评价小</w:t>
      </w:r>
      <w:r>
        <w:rPr>
          <w:rFonts w:hint="eastAsia"/>
          <w:szCs w:val="32"/>
          <w:lang w:val="zh-TW" w:eastAsia="zh-TW"/>
        </w:rPr>
        <w:t>组论证的评价指标体系及评分标准，</w:t>
      </w:r>
      <w:r>
        <w:rPr>
          <w:rFonts w:hint="eastAsia"/>
          <w:szCs w:val="32"/>
        </w:rPr>
        <w:t>采用的方法比较法、公众评判法，</w:t>
      </w:r>
      <w:r>
        <w:rPr>
          <w:rFonts w:hint="eastAsia"/>
          <w:szCs w:val="32"/>
          <w:lang w:val="zh-TW" w:eastAsia="zh-TW"/>
        </w:rPr>
        <w:t>对</w:t>
      </w:r>
      <w:r>
        <w:rPr>
          <w:rFonts w:hint="eastAsia" w:ascii="Times New Roman" w:hAnsi="Times New Roman"/>
          <w:szCs w:val="32"/>
        </w:rPr>
        <w:t>民主党派事务</w:t>
      </w:r>
      <w:r>
        <w:rPr>
          <w:rFonts w:hint="eastAsia" w:ascii="Times New Roman" w:hAnsi="Times New Roman"/>
          <w:szCs w:val="32"/>
          <w:lang w:val="zh-TW" w:eastAsia="zh-TW"/>
        </w:rPr>
        <w:t>项目</w:t>
      </w:r>
      <w:r>
        <w:rPr>
          <w:rFonts w:hint="eastAsia"/>
          <w:szCs w:val="32"/>
        </w:rPr>
        <w:t>项目</w:t>
      </w:r>
      <w:r>
        <w:rPr>
          <w:rFonts w:hint="eastAsia"/>
          <w:szCs w:val="32"/>
          <w:lang w:val="zh-TW" w:eastAsia="zh-TW"/>
        </w:rPr>
        <w:t>绩效进行客观评价，最终评分结果：总分为</w:t>
      </w:r>
      <w:r>
        <w:rPr>
          <w:rFonts w:hint="eastAsia"/>
          <w:szCs w:val="32"/>
        </w:rPr>
        <w:t>99</w:t>
      </w:r>
      <w:r>
        <w:rPr>
          <w:rFonts w:hint="eastAsia"/>
          <w:szCs w:val="32"/>
          <w:lang w:val="zh-TW" w:eastAsia="zh-TW"/>
        </w:rPr>
        <w:t>分，绩效评级为“</w:t>
      </w:r>
      <w:r>
        <w:rPr>
          <w:rFonts w:hint="eastAsia"/>
          <w:szCs w:val="32"/>
        </w:rPr>
        <w:t>优</w:t>
      </w:r>
      <w:r>
        <w:rPr>
          <w:rFonts w:hint="eastAsia"/>
          <w:szCs w:val="32"/>
          <w:lang w:val="zh-TW" w:eastAsia="zh-TW"/>
        </w:rPr>
        <w:t>”。各部分权重和绩效</w:t>
      </w:r>
      <w:r>
        <w:rPr>
          <w:rFonts w:hint="eastAsia"/>
          <w:szCs w:val="32"/>
        </w:rPr>
        <w:t>汇总</w:t>
      </w:r>
      <w:r>
        <w:rPr>
          <w:rFonts w:hint="eastAsia"/>
          <w:szCs w:val="32"/>
          <w:lang w:val="zh-TW" w:eastAsia="zh-TW"/>
        </w:rPr>
        <w:t>分值如下表所示：</w:t>
      </w:r>
    </w:p>
    <w:p>
      <w:pPr>
        <w:pStyle w:val="2"/>
        <w:rPr>
          <w:lang w:val="zh-TW"/>
        </w:rPr>
      </w:pPr>
    </w:p>
    <w:tbl>
      <w:tblPr>
        <w:tblStyle w:val="8"/>
        <w:tblW w:w="8290" w:type="dxa"/>
        <w:jc w:val="center"/>
        <w:tblLayout w:type="fixed"/>
        <w:tblCellMar>
          <w:top w:w="0" w:type="dxa"/>
          <w:left w:w="0" w:type="dxa"/>
          <w:bottom w:w="0" w:type="dxa"/>
          <w:right w:w="0" w:type="dxa"/>
        </w:tblCellMar>
      </w:tblPr>
      <w:tblGrid>
        <w:gridCol w:w="1054"/>
        <w:gridCol w:w="1311"/>
        <w:gridCol w:w="1311"/>
        <w:gridCol w:w="1311"/>
        <w:gridCol w:w="1722"/>
        <w:gridCol w:w="1581"/>
      </w:tblGrid>
      <w:tr>
        <w:tblPrEx>
          <w:tblCellMar>
            <w:top w:w="0" w:type="dxa"/>
            <w:left w:w="0" w:type="dxa"/>
            <w:bottom w:w="0" w:type="dxa"/>
            <w:right w:w="0" w:type="dxa"/>
          </w:tblCellMar>
        </w:tblPrEx>
        <w:trPr>
          <w:trHeight w:val="375" w:hRule="atLeast"/>
          <w:jc w:val="center"/>
        </w:trPr>
        <w:tc>
          <w:tcPr>
            <w:tcW w:w="829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表：民主党派事务项目项目得分表</w:t>
            </w:r>
          </w:p>
        </w:tc>
      </w:tr>
      <w:tr>
        <w:tblPrEx>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指标类别</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1.项目决策</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2.过程管理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3.项目产出</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4.项目效益</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合计</w:t>
            </w:r>
          </w:p>
        </w:tc>
      </w:tr>
      <w:tr>
        <w:tblPrEx>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权重</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30</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100</w:t>
            </w:r>
          </w:p>
        </w:tc>
      </w:tr>
      <w:tr>
        <w:tblPrEx>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分值</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sz w:val="24"/>
              </w:rPr>
              <w:t>24</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30</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sz w:val="24"/>
              </w:rPr>
              <w:t>99</w:t>
            </w:r>
          </w:p>
        </w:tc>
      </w:tr>
      <w:tr>
        <w:tblPrEx>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得分率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100.0%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96.0%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100.0%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100.0%</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99.0%</w:t>
            </w:r>
          </w:p>
        </w:tc>
      </w:tr>
    </w:tbl>
    <w:p>
      <w:pPr>
        <w:pStyle w:val="2"/>
      </w:pPr>
    </w:p>
    <w:p>
      <w:pPr>
        <w:pStyle w:val="2"/>
      </w:pPr>
    </w:p>
    <w:p>
      <w:pPr>
        <w:spacing w:line="552" w:lineRule="exact"/>
        <w:ind w:firstLine="640" w:firstLineChars="200"/>
        <w:rPr>
          <w:rFonts w:ascii="黑体" w:hAnsi="仿宋" w:eastAsia="黑体"/>
          <w:szCs w:val="32"/>
        </w:rPr>
      </w:pPr>
      <w:r>
        <w:rPr>
          <w:rFonts w:hint="eastAsia" w:ascii="黑体" w:hAnsi="仿宋" w:eastAsia="黑体"/>
          <w:szCs w:val="32"/>
        </w:rPr>
        <w:t>四、绩效评价指标分析</w:t>
      </w:r>
    </w:p>
    <w:p>
      <w:pPr>
        <w:spacing w:line="552" w:lineRule="exact"/>
        <w:ind w:firstLine="640" w:firstLineChars="200"/>
        <w:outlineLvl w:val="0"/>
        <w:rPr>
          <w:rFonts w:hAnsi="仿宋"/>
          <w:szCs w:val="32"/>
        </w:rPr>
      </w:pPr>
      <w:r>
        <w:rPr>
          <w:rFonts w:hint="eastAsia" w:hAnsi="仿宋"/>
          <w:szCs w:val="32"/>
        </w:rPr>
        <w:t>（一）项目决策情况</w:t>
      </w:r>
    </w:p>
    <w:p>
      <w:pPr>
        <w:ind w:firstLine="640"/>
        <w:rPr>
          <w:szCs w:val="32"/>
        </w:rPr>
      </w:pPr>
      <w:r>
        <w:rPr>
          <w:rFonts w:hint="eastAsia"/>
          <w:szCs w:val="32"/>
        </w:rPr>
        <w:t>项目决策由3个二级指标和6个三级指标构成，权重分15分，实际得分15分，</w:t>
      </w:r>
      <w:r>
        <w:rPr>
          <w:rFonts w:hint="eastAsia"/>
          <w:color w:val="000000"/>
          <w:szCs w:val="32"/>
          <w:u w:color="000000"/>
          <w:lang w:val="zh-TW" w:eastAsia="zh-TW"/>
        </w:rPr>
        <w:t>各指标业绩值和绩效分值如表所示</w:t>
      </w:r>
      <w:r>
        <w:rPr>
          <w:rFonts w:hint="eastAsia"/>
          <w:szCs w:val="32"/>
        </w:rPr>
        <w:t>：</w:t>
      </w:r>
    </w:p>
    <w:p>
      <w:pPr>
        <w:pStyle w:val="2"/>
      </w:pPr>
    </w:p>
    <w:p>
      <w:pPr>
        <w:pStyle w:val="2"/>
      </w:pPr>
    </w:p>
    <w:p>
      <w:pPr>
        <w:keepNext/>
        <w:keepLines/>
        <w:ind w:firstLine="560"/>
        <w:jc w:val="center"/>
      </w:pPr>
      <w:r>
        <w:rPr>
          <w:rFonts w:hint="eastAsia"/>
          <w:b/>
          <w:bCs/>
          <w:color w:val="000000"/>
          <w:u w:color="000000"/>
        </w:rPr>
        <w:t>表：</w:t>
      </w:r>
      <w:r>
        <w:rPr>
          <w:rFonts w:hint="eastAsia"/>
          <w:b/>
          <w:bCs/>
          <w:color w:val="000000"/>
          <w:u w:color="000000"/>
          <w:lang w:val="zh-TW" w:eastAsia="zh-TW"/>
        </w:rPr>
        <w:t>项目决策指标及分值</w:t>
      </w:r>
    </w:p>
    <w:tbl>
      <w:tblPr>
        <w:tblStyle w:val="8"/>
        <w:tblW w:w="8447" w:type="dxa"/>
        <w:jc w:val="center"/>
        <w:tblLayout w:type="fixed"/>
        <w:tblCellMar>
          <w:top w:w="0" w:type="dxa"/>
          <w:left w:w="0" w:type="dxa"/>
          <w:bottom w:w="0" w:type="dxa"/>
          <w:right w:w="0" w:type="dxa"/>
        </w:tblCellMar>
      </w:tblPr>
      <w:tblGrid>
        <w:gridCol w:w="1077"/>
        <w:gridCol w:w="960"/>
        <w:gridCol w:w="1251"/>
        <w:gridCol w:w="794"/>
        <w:gridCol w:w="1871"/>
        <w:gridCol w:w="1417"/>
        <w:gridCol w:w="1077"/>
      </w:tblGrid>
      <w:tr>
        <w:tblPrEx>
          <w:tblCellMar>
            <w:top w:w="0" w:type="dxa"/>
            <w:left w:w="0" w:type="dxa"/>
            <w:bottom w:w="0" w:type="dxa"/>
            <w:right w:w="0" w:type="dxa"/>
          </w:tblCellMar>
        </w:tblPrEx>
        <w:trPr>
          <w:trHeight w:val="522" w:hRule="atLeast"/>
          <w:tblHeader/>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一级指标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二级指标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三级指标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得分</w:t>
            </w:r>
          </w:p>
        </w:tc>
      </w:tr>
      <w:tr>
        <w:tblPrEx>
          <w:tblCellMar>
            <w:top w:w="0" w:type="dxa"/>
            <w:left w:w="0" w:type="dxa"/>
            <w:bottom w:w="0" w:type="dxa"/>
            <w:right w:w="0" w:type="dxa"/>
          </w:tblCellMar>
        </w:tblPrEx>
        <w:trPr>
          <w:trHeight w:val="334" w:hRule="atLeast"/>
          <w:tblHeader/>
          <w:jc w:val="center"/>
        </w:trPr>
        <w:tc>
          <w:tcPr>
            <w:tcW w:w="107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项目决策</w:t>
            </w:r>
          </w:p>
        </w:tc>
        <w:tc>
          <w:tcPr>
            <w:tcW w:w="96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15</w:t>
            </w:r>
          </w:p>
        </w:tc>
        <w:tc>
          <w:tcPr>
            <w:tcW w:w="125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项目立项　</w:t>
            </w:r>
          </w:p>
        </w:tc>
        <w:tc>
          <w:tcPr>
            <w:tcW w:w="79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立项依据充分性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p>
        </w:tc>
        <w:tc>
          <w:tcPr>
            <w:tcW w:w="125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p>
        </w:tc>
        <w:tc>
          <w:tcPr>
            <w:tcW w:w="79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立项程序规范性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绩效目标</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绩效目标合理性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绩效指标明确性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25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r>
              <w:rPr>
                <w:rFonts w:hint="eastAsia" w:hAnsiTheme="minorEastAsia" w:cstheme="minorEastAsia"/>
                <w:color w:val="000000"/>
                <w:sz w:val="24"/>
              </w:rPr>
              <w:t>资金投入</w:t>
            </w:r>
          </w:p>
        </w:tc>
        <w:tc>
          <w:tcPr>
            <w:tcW w:w="79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r>
              <w:rPr>
                <w:rFonts w:hint="eastAsia" w:hAnsiTheme="minorEastAsia" w:cstheme="minorEastAsia"/>
                <w:color w:val="000000"/>
                <w:sz w:val="24"/>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预算编制科学性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96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25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79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资金分配合理性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CellMar>
            <w:top w:w="0" w:type="dxa"/>
            <w:left w:w="0" w:type="dxa"/>
            <w:bottom w:w="0" w:type="dxa"/>
            <w:right w:w="0" w:type="dxa"/>
          </w:tblCellMar>
        </w:tblPrEx>
        <w:trPr>
          <w:trHeight w:val="334" w:hRule="atLeast"/>
          <w:tblHeader/>
          <w:jc w:val="center"/>
        </w:trPr>
        <w:tc>
          <w:tcPr>
            <w:tcW w:w="32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r>
              <w:rPr>
                <w:rFonts w:hint="eastAsia" w:hAnsiTheme="minorEastAsia" w:cstheme="minorEastAsia"/>
                <w:color w:val="000000"/>
                <w:sz w:val="24"/>
              </w:rPr>
              <w:t>合计</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r>
              <w:rPr>
                <w:rFonts w:hint="eastAsia" w:hAnsiTheme="minorEastAsia" w:cstheme="minorEastAsia"/>
                <w:color w:val="000000"/>
                <w:sz w:val="24"/>
              </w:rPr>
              <w:t>15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hAnsiTheme="minorEastAsia" w:cstheme="minorEastAsia"/>
                <w:color w:val="000000"/>
                <w:sz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15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15</w:t>
            </w:r>
          </w:p>
        </w:tc>
      </w:tr>
    </w:tbl>
    <w:p>
      <w:pPr>
        <w:pStyle w:val="4"/>
        <w:ind w:firstLine="0"/>
      </w:pPr>
    </w:p>
    <w:p>
      <w:pPr>
        <w:pStyle w:val="7"/>
        <w:spacing w:before="0" w:beforeAutospacing="0" w:after="0" w:afterAutospacing="0" w:line="560" w:lineRule="exact"/>
        <w:ind w:firstLine="645"/>
      </w:pPr>
      <w:r>
        <w:rPr>
          <w:rFonts w:hint="eastAsia" w:ascii="仿宋" w:hAnsi="仿宋" w:eastAsia="仿宋"/>
          <w:szCs w:val="32"/>
        </w:rPr>
        <w:t>民主党派事务项目主要用于根据《中共中央关于坚持和完善中国共产党领导的多党合作和政治协商制度的意见》和《九三学社章程》规定的政治协商、民主监督、参政议政职能，以及九三学社海南省委和中共海口市委交办的工作。属于经常性项目，非跨年度项目。根据本单位实际需要支出，资金的使用需经过本单位领导审批，再由财务人员审核，才能支出。</w:t>
      </w:r>
    </w:p>
    <w:p>
      <w:pPr>
        <w:numPr>
          <w:ilvl w:val="0"/>
          <w:numId w:val="2"/>
        </w:numPr>
        <w:spacing w:line="552" w:lineRule="exact"/>
        <w:ind w:firstLine="640" w:firstLineChars="200"/>
        <w:outlineLvl w:val="0"/>
        <w:rPr>
          <w:rFonts w:hAnsi="仿宋"/>
          <w:szCs w:val="32"/>
        </w:rPr>
      </w:pPr>
      <w:r>
        <w:rPr>
          <w:rFonts w:hint="eastAsia" w:hAnsi="仿宋"/>
          <w:szCs w:val="32"/>
        </w:rPr>
        <w:t>项目过程情况。</w:t>
      </w:r>
    </w:p>
    <w:p>
      <w:pPr>
        <w:ind w:firstLine="640"/>
        <w:rPr>
          <w:color w:val="000000"/>
          <w:szCs w:val="32"/>
          <w:u w:color="000000"/>
          <w:lang w:val="zh-TW" w:eastAsia="zh-TW"/>
        </w:rPr>
      </w:pPr>
      <w:r>
        <w:rPr>
          <w:rFonts w:hint="eastAsia"/>
          <w:color w:val="000000"/>
          <w:szCs w:val="32"/>
          <w:u w:color="000000"/>
          <w:lang w:val="zh-TW" w:eastAsia="zh-TW"/>
        </w:rPr>
        <w:t>项目</w:t>
      </w:r>
      <w:r>
        <w:rPr>
          <w:rFonts w:hint="eastAsia"/>
          <w:szCs w:val="32"/>
        </w:rPr>
        <w:t>过程</w:t>
      </w:r>
      <w:r>
        <w:rPr>
          <w:rFonts w:hint="eastAsia"/>
          <w:color w:val="000000"/>
          <w:szCs w:val="32"/>
          <w:u w:color="000000"/>
        </w:rPr>
        <w:t>管理</w:t>
      </w:r>
      <w:r>
        <w:rPr>
          <w:rFonts w:hint="eastAsia"/>
          <w:color w:val="000000"/>
          <w:szCs w:val="32"/>
          <w:u w:color="000000"/>
          <w:lang w:val="zh-TW" w:eastAsia="zh-TW"/>
        </w:rPr>
        <w:t>类指标由</w:t>
      </w:r>
      <w:r>
        <w:rPr>
          <w:rFonts w:hint="eastAsia"/>
          <w:color w:val="000000"/>
          <w:szCs w:val="32"/>
          <w:u w:color="000000"/>
        </w:rPr>
        <w:t>2</w:t>
      </w:r>
      <w:r>
        <w:rPr>
          <w:rFonts w:hint="eastAsia"/>
          <w:color w:val="000000"/>
          <w:szCs w:val="32"/>
          <w:u w:color="000000"/>
          <w:lang w:val="zh-TW" w:eastAsia="zh-TW"/>
        </w:rPr>
        <w:t>个</w:t>
      </w:r>
      <w:r>
        <w:rPr>
          <w:rFonts w:hint="eastAsia"/>
          <w:color w:val="000000"/>
          <w:szCs w:val="32"/>
          <w:u w:color="000000"/>
          <w:lang w:val="zh-TW"/>
        </w:rPr>
        <w:t>二</w:t>
      </w:r>
      <w:r>
        <w:rPr>
          <w:rFonts w:hint="eastAsia"/>
          <w:color w:val="000000"/>
          <w:szCs w:val="32"/>
          <w:u w:color="000000"/>
          <w:lang w:val="zh-TW" w:eastAsia="zh-TW"/>
        </w:rPr>
        <w:t>级指标和</w:t>
      </w:r>
      <w:r>
        <w:rPr>
          <w:rFonts w:hint="eastAsia"/>
          <w:color w:val="000000"/>
          <w:szCs w:val="32"/>
          <w:u w:color="000000"/>
        </w:rPr>
        <w:t>5</w:t>
      </w:r>
      <w:r>
        <w:rPr>
          <w:rFonts w:hint="eastAsia"/>
          <w:color w:val="000000"/>
          <w:szCs w:val="32"/>
          <w:u w:color="000000"/>
          <w:lang w:val="zh-TW" w:eastAsia="zh-TW"/>
        </w:rPr>
        <w:t>个</w:t>
      </w:r>
      <w:r>
        <w:rPr>
          <w:rFonts w:hint="eastAsia"/>
          <w:color w:val="000000"/>
          <w:szCs w:val="32"/>
          <w:u w:color="000000"/>
        </w:rPr>
        <w:t>三</w:t>
      </w:r>
      <w:r>
        <w:rPr>
          <w:rFonts w:hint="eastAsia"/>
          <w:color w:val="000000"/>
          <w:szCs w:val="32"/>
          <w:u w:color="000000"/>
          <w:lang w:val="zh-TW" w:eastAsia="zh-TW"/>
        </w:rPr>
        <w:t>级指标构成，权重分</w:t>
      </w:r>
      <w:r>
        <w:rPr>
          <w:rFonts w:hint="eastAsia"/>
          <w:color w:val="000000"/>
          <w:szCs w:val="32"/>
          <w:u w:color="000000"/>
        </w:rPr>
        <w:t>25</w:t>
      </w:r>
      <w:r>
        <w:rPr>
          <w:rFonts w:hint="eastAsia"/>
          <w:color w:val="000000"/>
          <w:szCs w:val="32"/>
          <w:u w:color="000000"/>
          <w:lang w:val="zh-TW" w:eastAsia="zh-TW"/>
        </w:rPr>
        <w:t>分，实际得分</w:t>
      </w:r>
      <w:r>
        <w:rPr>
          <w:rFonts w:hint="eastAsia"/>
          <w:color w:val="000000"/>
          <w:szCs w:val="32"/>
          <w:u w:color="000000"/>
        </w:rPr>
        <w:t>24</w:t>
      </w:r>
      <w:r>
        <w:rPr>
          <w:rFonts w:hint="eastAsia"/>
          <w:color w:val="000000"/>
          <w:szCs w:val="32"/>
          <w:u w:color="000000"/>
          <w:lang w:val="zh-TW" w:eastAsia="zh-TW"/>
        </w:rPr>
        <w:t>分</w:t>
      </w:r>
      <w:r>
        <w:rPr>
          <w:rFonts w:hint="eastAsia"/>
          <w:color w:val="000000"/>
          <w:szCs w:val="32"/>
          <w:u w:color="000000"/>
          <w:lang w:val="zh-TW"/>
        </w:rPr>
        <w:t>，</w:t>
      </w:r>
      <w:r>
        <w:rPr>
          <w:rFonts w:hint="eastAsia"/>
          <w:color w:val="000000"/>
          <w:szCs w:val="32"/>
          <w:u w:color="000000"/>
          <w:lang w:val="zh-TW" w:eastAsia="zh-TW"/>
        </w:rPr>
        <w:t>各指标业绩值和绩效分值如表所示：</w:t>
      </w:r>
    </w:p>
    <w:p>
      <w:pPr>
        <w:ind w:firstLine="560"/>
        <w:jc w:val="center"/>
        <w:rPr>
          <w:b/>
          <w:bCs/>
          <w:color w:val="000000"/>
          <w:u w:color="000000"/>
        </w:rPr>
      </w:pPr>
      <w:r>
        <w:rPr>
          <w:rFonts w:hint="eastAsia"/>
          <w:b/>
          <w:bCs/>
          <w:color w:val="000000"/>
          <w:u w:color="000000"/>
          <w:lang w:val="zh-TW" w:eastAsia="zh-TW"/>
        </w:rPr>
        <w:t>表</w:t>
      </w:r>
      <w:r>
        <w:rPr>
          <w:rFonts w:hint="eastAsia"/>
          <w:b/>
          <w:bCs/>
          <w:color w:val="000000"/>
          <w:u w:color="000000"/>
        </w:rPr>
        <w:t>：</w:t>
      </w:r>
      <w:r>
        <w:rPr>
          <w:rFonts w:hint="eastAsia"/>
          <w:b/>
          <w:bCs/>
          <w:color w:val="000000"/>
          <w:u w:color="000000"/>
          <w:lang w:val="zh-TW" w:eastAsia="zh-TW"/>
        </w:rPr>
        <w:t>项目</w:t>
      </w:r>
      <w:r>
        <w:rPr>
          <w:rFonts w:hint="eastAsia"/>
          <w:b/>
          <w:bCs/>
          <w:color w:val="000000"/>
          <w:u w:color="000000"/>
          <w:lang w:val="zh-TW"/>
        </w:rPr>
        <w:t>管理</w:t>
      </w:r>
      <w:r>
        <w:rPr>
          <w:rFonts w:hint="eastAsia"/>
          <w:b/>
          <w:bCs/>
          <w:color w:val="000000"/>
          <w:u w:color="000000"/>
          <w:lang w:val="zh-TW" w:eastAsia="zh-TW"/>
        </w:rPr>
        <w:t>指标及分值</w:t>
      </w:r>
      <w:r>
        <w:rPr>
          <w:rFonts w:hint="eastAsia"/>
          <w:b/>
          <w:bCs/>
          <w:color w:val="000000"/>
          <w:u w:color="000000"/>
        </w:rPr>
        <w:t>情况</w:t>
      </w:r>
    </w:p>
    <w:tbl>
      <w:tblPr>
        <w:tblStyle w:val="8"/>
        <w:tblW w:w="8317" w:type="dxa"/>
        <w:jc w:val="center"/>
        <w:tblLayout w:type="fixed"/>
        <w:tblCellMar>
          <w:top w:w="0" w:type="dxa"/>
          <w:left w:w="0" w:type="dxa"/>
          <w:bottom w:w="0" w:type="dxa"/>
          <w:right w:w="0" w:type="dxa"/>
        </w:tblCellMar>
      </w:tblPr>
      <w:tblGrid>
        <w:gridCol w:w="1182"/>
        <w:gridCol w:w="738"/>
        <w:gridCol w:w="1248"/>
        <w:gridCol w:w="1176"/>
        <w:gridCol w:w="1644"/>
        <w:gridCol w:w="1176"/>
        <w:gridCol w:w="1153"/>
      </w:tblGrid>
      <w:tr>
        <w:tblPrEx>
          <w:tblCellMar>
            <w:top w:w="0" w:type="dxa"/>
            <w:left w:w="0" w:type="dxa"/>
            <w:bottom w:w="0" w:type="dxa"/>
            <w:right w:w="0" w:type="dxa"/>
          </w:tblCellMar>
        </w:tblPrEx>
        <w:trPr>
          <w:trHeight w:val="23" w:hRule="atLeast"/>
          <w:tblHeader/>
          <w:jc w:val="center"/>
        </w:trPr>
        <w:tc>
          <w:tcPr>
            <w:tcW w:w="11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一级指标</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二级指标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三级指标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得分</w:t>
            </w:r>
          </w:p>
        </w:tc>
      </w:tr>
      <w:tr>
        <w:tblPrEx>
          <w:tblCellMar>
            <w:top w:w="0" w:type="dxa"/>
            <w:left w:w="0" w:type="dxa"/>
            <w:bottom w:w="0" w:type="dxa"/>
            <w:right w:w="0" w:type="dxa"/>
          </w:tblCellMar>
        </w:tblPrEx>
        <w:trPr>
          <w:trHeight w:val="23" w:hRule="atLeast"/>
          <w:jc w:val="center"/>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过程管理</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资金管理</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15</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AnsiTheme="minorEastAsia" w:cstheme="minorEastAsia"/>
                <w:color w:val="000000"/>
                <w:sz w:val="24"/>
              </w:rPr>
            </w:pPr>
            <w:r>
              <w:rPr>
                <w:rFonts w:hint="eastAsia" w:hAnsiTheme="minorEastAsia" w:cstheme="minorEastAsia"/>
                <w:color w:val="000000"/>
                <w:kern w:val="0"/>
                <w:sz w:val="22"/>
                <w:szCs w:val="22"/>
              </w:rPr>
              <w:t>资金到位率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r>
      <w:tr>
        <w:tblPrEx>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AnsiTheme="minorEastAsia" w:cstheme="minorEastAsia"/>
                <w:color w:val="000000"/>
                <w:sz w:val="24"/>
              </w:rPr>
            </w:pPr>
            <w:r>
              <w:rPr>
                <w:rFonts w:hint="eastAsia" w:hAnsiTheme="minorEastAsia" w:cstheme="minorEastAsia"/>
                <w:color w:val="000000"/>
                <w:kern w:val="0"/>
                <w:sz w:val="22"/>
                <w:szCs w:val="22"/>
              </w:rPr>
              <w:t>预算执行率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4</w:t>
            </w:r>
          </w:p>
        </w:tc>
      </w:tr>
      <w:tr>
        <w:tblPrEx>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AnsiTheme="minorEastAsia" w:cstheme="minorEastAsia"/>
                <w:color w:val="000000"/>
                <w:sz w:val="24"/>
              </w:rPr>
            </w:pPr>
            <w:r>
              <w:rPr>
                <w:rFonts w:hint="eastAsia" w:hAnsiTheme="minorEastAsia" w:cstheme="minorEastAsia"/>
                <w:color w:val="000000"/>
                <w:kern w:val="0"/>
                <w:sz w:val="22"/>
                <w:szCs w:val="22"/>
              </w:rPr>
              <w:t>资金使用合规性</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r>
      <w:tr>
        <w:tblPrEx>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textAlignment w:val="center"/>
              <w:rPr>
                <w:rFonts w:hAnsiTheme="minorEastAsia" w:cstheme="minorEastAsia"/>
                <w:color w:val="000000"/>
                <w:sz w:val="24"/>
              </w:rPr>
            </w:pPr>
            <w:r>
              <w:rPr>
                <w:rFonts w:hint="eastAsia" w:hAnsiTheme="minorEastAsia" w:cstheme="minorEastAsia"/>
                <w:color w:val="000000"/>
                <w:sz w:val="24"/>
              </w:rPr>
              <w:t>组织实施</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10</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AnsiTheme="minorEastAsia" w:cstheme="minorEastAsia"/>
                <w:color w:val="000000"/>
                <w:sz w:val="24"/>
              </w:rPr>
            </w:pPr>
            <w:r>
              <w:rPr>
                <w:rFonts w:hint="eastAsia" w:hAnsiTheme="minorEastAsia" w:cstheme="minorEastAsia"/>
                <w:color w:val="000000"/>
                <w:kern w:val="0"/>
                <w:sz w:val="22"/>
                <w:szCs w:val="22"/>
              </w:rPr>
              <w:t>管理制度健全性</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r>
      <w:tr>
        <w:tblPrEx>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AnsiTheme="minorEastAsia" w:cstheme="minorEastAsia"/>
                <w:color w:val="000000"/>
                <w:sz w:val="24"/>
              </w:rPr>
            </w:pPr>
            <w:r>
              <w:rPr>
                <w:rFonts w:hint="eastAsia" w:hAnsiTheme="minorEastAsia" w:cstheme="minorEastAsia"/>
                <w:color w:val="000000"/>
                <w:kern w:val="0"/>
                <w:sz w:val="22"/>
                <w:szCs w:val="22"/>
              </w:rPr>
              <w:t>制度执行有效性</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r>
      <w:tr>
        <w:tblPrEx>
          <w:tblCellMar>
            <w:top w:w="0" w:type="dxa"/>
            <w:left w:w="0" w:type="dxa"/>
            <w:bottom w:w="0" w:type="dxa"/>
            <w:right w:w="0" w:type="dxa"/>
          </w:tblCellMar>
        </w:tblPrEx>
        <w:trPr>
          <w:trHeight w:val="23" w:hRule="atLeast"/>
          <w:jc w:val="center"/>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r>
              <w:rPr>
                <w:rFonts w:hint="eastAsia" w:hAnsiTheme="minorEastAsia" w:cstheme="minorEastAsia"/>
                <w:color w:val="000000"/>
                <w:sz w:val="24"/>
              </w:rPr>
              <w:t>合计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r>
              <w:rPr>
                <w:rFonts w:hint="eastAsia" w:hAnsiTheme="minorEastAsia" w:cstheme="minorEastAsia"/>
                <w:color w:val="000000"/>
                <w:sz w:val="24"/>
              </w:rPr>
              <w:t>25</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left"/>
              <w:textAlignment w:val="center"/>
              <w:rPr>
                <w:rFonts w:hAnsiTheme="minorEastAsia" w:cstheme="minorEastAsia"/>
                <w:color w:val="000000"/>
                <w:sz w:val="24"/>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24</w:t>
            </w:r>
          </w:p>
        </w:tc>
      </w:tr>
    </w:tbl>
    <w:p>
      <w:pPr>
        <w:pStyle w:val="7"/>
        <w:spacing w:before="0" w:beforeAutospacing="0" w:after="0" w:afterAutospacing="0" w:line="560" w:lineRule="exact"/>
        <w:ind w:firstLine="645"/>
        <w:rPr>
          <w:rFonts w:ascii="仿宋" w:hAnsi="仿宋" w:eastAsia="仿宋"/>
          <w:szCs w:val="32"/>
        </w:rPr>
      </w:pPr>
    </w:p>
    <w:p>
      <w:pPr>
        <w:pStyle w:val="7"/>
        <w:spacing w:before="0" w:beforeAutospacing="0" w:after="0" w:afterAutospacing="0" w:line="560" w:lineRule="exact"/>
        <w:ind w:firstLine="645"/>
      </w:pPr>
      <w:r>
        <w:rPr>
          <w:rFonts w:hint="eastAsia" w:ascii="仿宋" w:hAnsi="仿宋" w:eastAsia="仿宋"/>
          <w:szCs w:val="32"/>
        </w:rPr>
        <w:t>民主党派事务项目预算投资金额96800元，于当年支出</w:t>
      </w:r>
      <w:r>
        <w:rPr>
          <w:rFonts w:ascii="仿宋" w:hAnsi="仿宋" w:eastAsia="仿宋"/>
          <w:szCs w:val="32"/>
        </w:rPr>
        <w:t>95820.90</w:t>
      </w:r>
      <w:r>
        <w:rPr>
          <w:rFonts w:hint="eastAsia" w:ascii="仿宋" w:hAnsi="仿宋" w:eastAsia="仿宋"/>
          <w:szCs w:val="32"/>
        </w:rPr>
        <w:t>元，项目实施过程中严格按照项目预算科目及有关政策规定进行支付。</w:t>
      </w:r>
    </w:p>
    <w:p>
      <w:pPr>
        <w:pStyle w:val="7"/>
        <w:numPr>
          <w:ilvl w:val="0"/>
          <w:numId w:val="2"/>
        </w:numPr>
        <w:spacing w:before="0" w:beforeAutospacing="0" w:after="0" w:afterAutospacing="0" w:line="560" w:lineRule="exact"/>
        <w:ind w:firstLine="640" w:firstLineChars="200"/>
        <w:rPr>
          <w:rFonts w:hAnsi="仿宋"/>
          <w:szCs w:val="32"/>
        </w:rPr>
      </w:pPr>
      <w:r>
        <w:rPr>
          <w:rFonts w:hint="eastAsia" w:hAnsi="仿宋"/>
          <w:szCs w:val="32"/>
        </w:rPr>
        <w:t>项目产出情况。</w:t>
      </w:r>
    </w:p>
    <w:p>
      <w:pPr>
        <w:ind w:firstLine="640"/>
        <w:rPr>
          <w:color w:val="000000"/>
          <w:szCs w:val="32"/>
          <w:u w:color="000000"/>
          <w:lang w:val="zh-TW"/>
        </w:rPr>
      </w:pPr>
      <w:r>
        <w:rPr>
          <w:rFonts w:hint="eastAsia"/>
          <w:color w:val="000000"/>
          <w:szCs w:val="32"/>
          <w:u w:color="000000"/>
          <w:lang w:val="zh-TW" w:eastAsia="zh-TW"/>
        </w:rPr>
        <w:t>项目</w:t>
      </w:r>
      <w:r>
        <w:rPr>
          <w:rFonts w:hint="eastAsia"/>
          <w:szCs w:val="32"/>
        </w:rPr>
        <w:t>产出</w:t>
      </w:r>
      <w:r>
        <w:rPr>
          <w:rFonts w:hint="eastAsia"/>
          <w:color w:val="000000"/>
          <w:szCs w:val="32"/>
          <w:u w:color="000000"/>
          <w:lang w:val="zh-TW" w:eastAsia="zh-TW"/>
        </w:rPr>
        <w:t>类指标由</w:t>
      </w:r>
      <w:r>
        <w:rPr>
          <w:rFonts w:hint="eastAsia"/>
          <w:color w:val="000000"/>
          <w:szCs w:val="32"/>
          <w:u w:color="000000"/>
        </w:rPr>
        <w:t>1</w:t>
      </w:r>
      <w:r>
        <w:rPr>
          <w:rFonts w:hint="eastAsia"/>
          <w:color w:val="000000"/>
          <w:szCs w:val="32"/>
          <w:u w:color="000000"/>
          <w:lang w:val="zh-TW" w:eastAsia="zh-TW"/>
        </w:rPr>
        <w:t>个</w:t>
      </w:r>
      <w:r>
        <w:rPr>
          <w:rFonts w:hint="eastAsia"/>
          <w:color w:val="000000"/>
          <w:szCs w:val="32"/>
          <w:u w:color="000000"/>
          <w:lang w:val="zh-TW"/>
        </w:rPr>
        <w:t>二</w:t>
      </w:r>
      <w:r>
        <w:rPr>
          <w:rFonts w:hint="eastAsia"/>
          <w:color w:val="000000"/>
          <w:szCs w:val="32"/>
          <w:u w:color="000000"/>
          <w:lang w:val="zh-TW" w:eastAsia="zh-TW"/>
        </w:rPr>
        <w:t>级指标和</w:t>
      </w:r>
      <w:r>
        <w:rPr>
          <w:rFonts w:hint="eastAsia"/>
          <w:color w:val="000000"/>
          <w:szCs w:val="32"/>
          <w:u w:color="000000"/>
        </w:rPr>
        <w:t>3</w:t>
      </w:r>
      <w:r>
        <w:rPr>
          <w:rFonts w:hint="eastAsia"/>
          <w:color w:val="000000"/>
          <w:szCs w:val="32"/>
          <w:u w:color="000000"/>
          <w:lang w:val="zh-TW" w:eastAsia="zh-TW"/>
        </w:rPr>
        <w:t>个</w:t>
      </w:r>
      <w:r>
        <w:rPr>
          <w:rFonts w:hint="eastAsia"/>
          <w:color w:val="000000"/>
          <w:szCs w:val="32"/>
          <w:u w:color="000000"/>
        </w:rPr>
        <w:t>三</w:t>
      </w:r>
      <w:r>
        <w:rPr>
          <w:rFonts w:hint="eastAsia"/>
          <w:color w:val="000000"/>
          <w:szCs w:val="32"/>
          <w:u w:color="000000"/>
          <w:lang w:val="zh-TW" w:eastAsia="zh-TW"/>
        </w:rPr>
        <w:t>级指标构成，权重分</w:t>
      </w:r>
      <w:r>
        <w:rPr>
          <w:rFonts w:hint="eastAsia"/>
          <w:color w:val="000000"/>
          <w:szCs w:val="32"/>
          <w:u w:color="000000"/>
        </w:rPr>
        <w:t>30</w:t>
      </w:r>
      <w:r>
        <w:rPr>
          <w:rFonts w:hint="eastAsia"/>
          <w:color w:val="000000"/>
          <w:szCs w:val="32"/>
          <w:u w:color="000000"/>
          <w:lang w:val="zh-TW" w:eastAsia="zh-TW"/>
        </w:rPr>
        <w:t>分，实际得分</w:t>
      </w:r>
      <w:r>
        <w:rPr>
          <w:rFonts w:hint="eastAsia"/>
          <w:color w:val="000000"/>
          <w:szCs w:val="32"/>
          <w:u w:color="000000"/>
        </w:rPr>
        <w:t>30</w:t>
      </w:r>
      <w:r>
        <w:rPr>
          <w:rFonts w:hint="eastAsia"/>
          <w:color w:val="000000"/>
          <w:szCs w:val="32"/>
          <w:u w:color="000000"/>
          <w:lang w:val="zh-TW" w:eastAsia="zh-TW"/>
        </w:rPr>
        <w:t>分</w:t>
      </w:r>
      <w:r>
        <w:rPr>
          <w:rFonts w:hint="eastAsia"/>
          <w:color w:val="000000"/>
          <w:szCs w:val="32"/>
          <w:u w:color="000000"/>
          <w:lang w:val="zh-TW"/>
        </w:rPr>
        <w:t>，</w:t>
      </w:r>
      <w:r>
        <w:rPr>
          <w:rFonts w:hint="eastAsia"/>
          <w:color w:val="000000"/>
          <w:szCs w:val="32"/>
          <w:u w:color="000000"/>
          <w:lang w:val="zh-TW" w:eastAsia="zh-TW"/>
        </w:rPr>
        <w:t>各指标业绩值和绩效分值如表所示：</w:t>
      </w:r>
    </w:p>
    <w:p>
      <w:pPr>
        <w:pStyle w:val="2"/>
        <w:rPr>
          <w:lang w:val="zh-TW"/>
        </w:rPr>
      </w:pPr>
    </w:p>
    <w:p>
      <w:pPr>
        <w:pStyle w:val="2"/>
        <w:rPr>
          <w:lang w:val="zh-TW"/>
        </w:rPr>
      </w:pPr>
    </w:p>
    <w:p>
      <w:pPr>
        <w:pStyle w:val="2"/>
        <w:rPr>
          <w:lang w:val="zh-TW"/>
        </w:rPr>
      </w:pPr>
    </w:p>
    <w:p>
      <w:pPr>
        <w:keepNext/>
        <w:keepLines/>
        <w:ind w:firstLine="560"/>
        <w:jc w:val="center"/>
        <w:rPr>
          <w:rFonts w:hAnsi="仿宋"/>
          <w:szCs w:val="32"/>
        </w:rPr>
      </w:pPr>
      <w:r>
        <w:rPr>
          <w:rFonts w:hint="eastAsia" w:hAnsi="仿宋_GB2312" w:cs="仿宋_GB2312"/>
          <w:b/>
          <w:bCs/>
          <w:color w:val="000000"/>
          <w:u w:color="000000"/>
          <w:lang w:val="zh-TW" w:eastAsia="zh-TW"/>
        </w:rPr>
        <w:t>表</w:t>
      </w:r>
      <w:r>
        <w:rPr>
          <w:rFonts w:hint="eastAsia" w:hAnsi="仿宋_GB2312" w:cs="仿宋_GB2312"/>
          <w:b/>
          <w:bCs/>
          <w:color w:val="000000"/>
          <w:u w:color="000000"/>
        </w:rPr>
        <w:t>：</w:t>
      </w:r>
      <w:r>
        <w:rPr>
          <w:rFonts w:hint="eastAsia" w:hAnsi="仿宋_GB2312" w:cs="仿宋_GB2312"/>
          <w:b/>
          <w:bCs/>
        </w:rPr>
        <w:t>项目产出</w:t>
      </w:r>
      <w:r>
        <w:rPr>
          <w:rFonts w:hint="eastAsia" w:hAnsi="仿宋_GB2312" w:cs="仿宋_GB2312"/>
          <w:b/>
          <w:bCs/>
          <w:color w:val="000000"/>
          <w:u w:color="000000"/>
          <w:lang w:val="zh-TW" w:eastAsia="zh-TW"/>
        </w:rPr>
        <w:t>指标及分值</w:t>
      </w:r>
      <w:r>
        <w:rPr>
          <w:rFonts w:hint="eastAsia" w:hAnsi="仿宋_GB2312" w:cs="仿宋_GB2312"/>
          <w:b/>
          <w:bCs/>
          <w:color w:val="000000"/>
          <w:u w:color="000000"/>
        </w:rPr>
        <w:t>情况</w:t>
      </w:r>
    </w:p>
    <w:tbl>
      <w:tblPr>
        <w:tblStyle w:val="8"/>
        <w:tblW w:w="8937" w:type="dxa"/>
        <w:jc w:val="center"/>
        <w:tblLayout w:type="fixed"/>
        <w:tblCellMar>
          <w:top w:w="0" w:type="dxa"/>
          <w:left w:w="108" w:type="dxa"/>
          <w:bottom w:w="0" w:type="dxa"/>
          <w:right w:w="108" w:type="dxa"/>
        </w:tblCellMar>
      </w:tblPr>
      <w:tblGrid>
        <w:gridCol w:w="1212"/>
        <w:gridCol w:w="1545"/>
        <w:gridCol w:w="2486"/>
        <w:gridCol w:w="1050"/>
        <w:gridCol w:w="1051"/>
        <w:gridCol w:w="700"/>
        <w:gridCol w:w="893"/>
      </w:tblGrid>
      <w:tr>
        <w:tblPrEx>
          <w:tblCellMar>
            <w:top w:w="0" w:type="dxa"/>
            <w:left w:w="108" w:type="dxa"/>
            <w:bottom w:w="0" w:type="dxa"/>
            <w:right w:w="108" w:type="dxa"/>
          </w:tblCellMar>
        </w:tblPrEx>
        <w:trPr>
          <w:trHeight w:val="550"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802" w:hRule="exact"/>
          <w:jc w:val="center"/>
        </w:trPr>
        <w:tc>
          <w:tcPr>
            <w:tcW w:w="12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kern w:val="0"/>
                <w:sz w:val="18"/>
                <w:szCs w:val="18"/>
              </w:rPr>
              <w:t>济困帮扶和慰问知名人士（社员）</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862" w:hRule="exac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指标2</w:t>
            </w:r>
            <w:r>
              <w:rPr>
                <w:rFonts w:hint="eastAsia" w:ascii="宋体" w:hAnsi="宋体" w:eastAsia="宋体" w:cs="宋体"/>
                <w:color w:val="000000"/>
                <w:kern w:val="0"/>
                <w:sz w:val="18"/>
                <w:szCs w:val="18"/>
              </w:rPr>
              <w:t>：提交政协提案和人大建议</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1042" w:hRule="exac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指标3：</w:t>
            </w:r>
            <w:r>
              <w:rPr>
                <w:rFonts w:hint="eastAsia" w:ascii="宋体" w:hAnsi="宋体" w:eastAsia="宋体" w:cs="宋体"/>
                <w:color w:val="000000"/>
                <w:kern w:val="0"/>
                <w:sz w:val="18"/>
                <w:szCs w:val="18"/>
              </w:rPr>
              <w:t>组织社员开展活动</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320</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1042" w:hRule="exact"/>
          <w:jc w:val="center"/>
        </w:trPr>
        <w:tc>
          <w:tcPr>
            <w:tcW w:w="7344" w:type="dxa"/>
            <w:gridSpan w:val="5"/>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r>
    </w:tbl>
    <w:p>
      <w:pPr>
        <w:pStyle w:val="7"/>
        <w:spacing w:before="0" w:beforeAutospacing="0" w:after="0" w:afterAutospacing="0" w:line="560" w:lineRule="exact"/>
        <w:ind w:firstLine="640" w:firstLineChars="200"/>
        <w:rPr>
          <w:rFonts w:hAnsi="仿宋"/>
          <w:szCs w:val="32"/>
        </w:rPr>
      </w:pPr>
      <w:r>
        <w:rPr>
          <w:rFonts w:hint="eastAsia" w:ascii="仿宋" w:hAnsi="仿宋" w:eastAsia="仿宋"/>
          <w:szCs w:val="32"/>
        </w:rPr>
        <w:t>根据项目运行方案，实施严格的项目管理。截止2021年12月底项目已经全部实施完成，项目已拨付</w:t>
      </w:r>
      <w:r>
        <w:rPr>
          <w:rFonts w:ascii="仿宋" w:hAnsi="仿宋" w:eastAsia="仿宋"/>
          <w:szCs w:val="32"/>
        </w:rPr>
        <w:t>95820.90</w:t>
      </w:r>
      <w:r>
        <w:rPr>
          <w:rFonts w:hint="eastAsia" w:ascii="仿宋" w:hAnsi="仿宋" w:eastAsia="仿宋"/>
          <w:szCs w:val="32"/>
        </w:rPr>
        <w:t>元，并已100%完成预期目标。</w:t>
      </w:r>
    </w:p>
    <w:p>
      <w:pPr>
        <w:numPr>
          <w:ilvl w:val="0"/>
          <w:numId w:val="2"/>
        </w:numPr>
        <w:spacing w:line="552" w:lineRule="exact"/>
        <w:ind w:firstLine="640" w:firstLineChars="200"/>
        <w:outlineLvl w:val="0"/>
        <w:rPr>
          <w:rFonts w:hAnsi="仿宋"/>
          <w:szCs w:val="32"/>
        </w:rPr>
      </w:pPr>
      <w:r>
        <w:rPr>
          <w:rFonts w:hint="eastAsia" w:hAnsi="仿宋"/>
          <w:szCs w:val="32"/>
        </w:rPr>
        <w:t>项目效益情况。</w:t>
      </w:r>
    </w:p>
    <w:p>
      <w:pPr>
        <w:ind w:firstLine="640" w:firstLineChars="200"/>
        <w:rPr>
          <w:color w:val="000000"/>
          <w:szCs w:val="32"/>
          <w:u w:color="000000"/>
          <w:lang w:val="zh-TW" w:eastAsia="zh-TW"/>
        </w:rPr>
      </w:pPr>
      <w:r>
        <w:rPr>
          <w:rFonts w:hint="eastAsia"/>
          <w:color w:val="000000"/>
          <w:szCs w:val="32"/>
          <w:u w:color="000000"/>
          <w:lang w:val="zh-TW" w:eastAsia="zh-TW"/>
        </w:rPr>
        <w:t>项目</w:t>
      </w:r>
      <w:r>
        <w:rPr>
          <w:rFonts w:hint="eastAsia"/>
          <w:szCs w:val="32"/>
        </w:rPr>
        <w:t>效益</w:t>
      </w:r>
      <w:r>
        <w:rPr>
          <w:rFonts w:hint="eastAsia"/>
          <w:color w:val="000000"/>
          <w:szCs w:val="32"/>
          <w:u w:color="000000"/>
          <w:lang w:val="zh-TW" w:eastAsia="zh-TW"/>
        </w:rPr>
        <w:t>类指标由</w:t>
      </w:r>
      <w:r>
        <w:rPr>
          <w:rFonts w:hint="eastAsia"/>
          <w:color w:val="000000"/>
          <w:szCs w:val="32"/>
          <w:u w:color="000000"/>
        </w:rPr>
        <w:t>2</w:t>
      </w:r>
      <w:r>
        <w:rPr>
          <w:rFonts w:hint="eastAsia"/>
          <w:color w:val="000000"/>
          <w:szCs w:val="32"/>
          <w:u w:color="000000"/>
          <w:lang w:val="zh-TW" w:eastAsia="zh-TW"/>
        </w:rPr>
        <w:t>个</w:t>
      </w:r>
      <w:r>
        <w:rPr>
          <w:rFonts w:hint="eastAsia"/>
          <w:color w:val="000000"/>
          <w:szCs w:val="32"/>
          <w:u w:color="000000"/>
          <w:lang w:val="zh-TW"/>
        </w:rPr>
        <w:t>二</w:t>
      </w:r>
      <w:r>
        <w:rPr>
          <w:rFonts w:hint="eastAsia"/>
          <w:color w:val="000000"/>
          <w:szCs w:val="32"/>
          <w:u w:color="000000"/>
          <w:lang w:val="zh-TW" w:eastAsia="zh-TW"/>
        </w:rPr>
        <w:t>级指标和</w:t>
      </w:r>
      <w:r>
        <w:rPr>
          <w:rFonts w:hint="eastAsia"/>
          <w:color w:val="000000"/>
          <w:szCs w:val="32"/>
          <w:u w:color="000000"/>
        </w:rPr>
        <w:t>6</w:t>
      </w:r>
      <w:r>
        <w:rPr>
          <w:rFonts w:hint="eastAsia"/>
          <w:color w:val="000000"/>
          <w:szCs w:val="32"/>
          <w:u w:color="000000"/>
          <w:lang w:val="zh-TW" w:eastAsia="zh-TW"/>
        </w:rPr>
        <w:t>个</w:t>
      </w:r>
      <w:r>
        <w:rPr>
          <w:rFonts w:hint="eastAsia"/>
          <w:color w:val="000000"/>
          <w:szCs w:val="32"/>
          <w:u w:color="000000"/>
        </w:rPr>
        <w:t>三</w:t>
      </w:r>
      <w:r>
        <w:rPr>
          <w:rFonts w:hint="eastAsia"/>
          <w:color w:val="000000"/>
          <w:szCs w:val="32"/>
          <w:u w:color="000000"/>
          <w:lang w:val="zh-TW" w:eastAsia="zh-TW"/>
        </w:rPr>
        <w:t>级指标构成，权重分</w:t>
      </w:r>
      <w:r>
        <w:rPr>
          <w:rFonts w:hint="eastAsia"/>
          <w:color w:val="000000"/>
          <w:szCs w:val="32"/>
          <w:u w:color="000000"/>
        </w:rPr>
        <w:t>30</w:t>
      </w:r>
      <w:r>
        <w:rPr>
          <w:rFonts w:hint="eastAsia"/>
          <w:color w:val="000000"/>
          <w:szCs w:val="32"/>
          <w:u w:color="000000"/>
          <w:lang w:val="zh-TW" w:eastAsia="zh-TW"/>
        </w:rPr>
        <w:t>分，实际得分</w:t>
      </w:r>
      <w:r>
        <w:rPr>
          <w:rFonts w:hint="eastAsia"/>
          <w:color w:val="000000"/>
          <w:szCs w:val="32"/>
          <w:u w:color="000000"/>
        </w:rPr>
        <w:t>30</w:t>
      </w:r>
      <w:r>
        <w:rPr>
          <w:rFonts w:hint="eastAsia"/>
          <w:color w:val="000000"/>
          <w:szCs w:val="32"/>
          <w:u w:color="000000"/>
          <w:lang w:val="zh-TW" w:eastAsia="zh-TW"/>
        </w:rPr>
        <w:t>分</w:t>
      </w:r>
      <w:r>
        <w:rPr>
          <w:rFonts w:hint="eastAsia"/>
          <w:color w:val="000000"/>
          <w:szCs w:val="32"/>
          <w:u w:color="000000"/>
          <w:lang w:val="zh-TW"/>
        </w:rPr>
        <w:t>，</w:t>
      </w:r>
      <w:r>
        <w:rPr>
          <w:rFonts w:hint="eastAsia"/>
          <w:color w:val="000000"/>
          <w:szCs w:val="32"/>
          <w:u w:color="000000"/>
          <w:lang w:val="zh-TW" w:eastAsia="zh-TW"/>
        </w:rPr>
        <w:t>各指标业绩值和绩效分值如表所示：</w:t>
      </w:r>
    </w:p>
    <w:p>
      <w:pPr>
        <w:keepNext/>
        <w:keepLines/>
        <w:ind w:firstLine="560"/>
        <w:jc w:val="center"/>
      </w:pPr>
      <w:r>
        <w:rPr>
          <w:rFonts w:hint="eastAsia" w:hAnsi="仿宋_GB2312" w:cs="仿宋_GB2312"/>
          <w:b/>
          <w:bCs/>
          <w:color w:val="000000"/>
          <w:u w:color="000000"/>
          <w:lang w:val="zh-TW" w:eastAsia="zh-TW"/>
        </w:rPr>
        <w:t>表</w:t>
      </w:r>
      <w:r>
        <w:rPr>
          <w:rFonts w:hint="eastAsia" w:hAnsi="仿宋_GB2312" w:cs="仿宋_GB2312"/>
          <w:b/>
          <w:bCs/>
          <w:color w:val="000000"/>
          <w:u w:color="000000"/>
        </w:rPr>
        <w:t>：</w:t>
      </w:r>
      <w:r>
        <w:rPr>
          <w:rFonts w:hint="eastAsia" w:hAnsi="仿宋_GB2312" w:cs="仿宋_GB2312"/>
          <w:b/>
          <w:bCs/>
        </w:rPr>
        <w:t>项目效益</w:t>
      </w:r>
      <w:r>
        <w:rPr>
          <w:rFonts w:hint="eastAsia" w:hAnsi="仿宋_GB2312" w:cs="仿宋_GB2312"/>
          <w:b/>
          <w:bCs/>
          <w:color w:val="000000"/>
          <w:u w:color="000000"/>
          <w:lang w:val="zh-TW" w:eastAsia="zh-TW"/>
        </w:rPr>
        <w:t>指标及分值</w:t>
      </w:r>
      <w:r>
        <w:rPr>
          <w:rFonts w:hint="eastAsia" w:hAnsi="仿宋_GB2312" w:cs="仿宋_GB2312"/>
          <w:b/>
          <w:bCs/>
          <w:color w:val="000000"/>
          <w:u w:color="000000"/>
        </w:rPr>
        <w:t>情况</w:t>
      </w:r>
    </w:p>
    <w:tbl>
      <w:tblPr>
        <w:tblStyle w:val="8"/>
        <w:tblW w:w="7836" w:type="dxa"/>
        <w:jc w:val="center"/>
        <w:tblLayout w:type="fixed"/>
        <w:tblCellMar>
          <w:top w:w="0" w:type="dxa"/>
          <w:left w:w="108" w:type="dxa"/>
          <w:bottom w:w="0" w:type="dxa"/>
          <w:right w:w="108" w:type="dxa"/>
        </w:tblCellMar>
      </w:tblPr>
      <w:tblGrid>
        <w:gridCol w:w="1062"/>
        <w:gridCol w:w="1355"/>
        <w:gridCol w:w="2179"/>
        <w:gridCol w:w="921"/>
        <w:gridCol w:w="922"/>
        <w:gridCol w:w="614"/>
        <w:gridCol w:w="783"/>
      </w:tblGrid>
      <w:tr>
        <w:tblPrEx>
          <w:tblCellMar>
            <w:top w:w="0" w:type="dxa"/>
            <w:left w:w="108" w:type="dxa"/>
            <w:bottom w:w="0" w:type="dxa"/>
            <w:right w:w="108" w:type="dxa"/>
          </w:tblCellMar>
        </w:tblPrEx>
        <w:trPr>
          <w:trHeight w:val="763" w:hRule="exact"/>
          <w:jc w:val="center"/>
        </w:trPr>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763" w:hRule="exact"/>
          <w:jc w:val="center"/>
        </w:trPr>
        <w:tc>
          <w:tcPr>
            <w:tcW w:w="106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3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指标1：加强组织凝聚力（慰问）</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CellMar>
            <w:top w:w="0" w:type="dxa"/>
            <w:left w:w="108" w:type="dxa"/>
            <w:bottom w:w="0" w:type="dxa"/>
            <w:right w:w="108" w:type="dxa"/>
          </w:tblCellMar>
        </w:tblPrEx>
        <w:trPr>
          <w:trHeight w:val="850"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指标2：加强党派自身建设（活动）</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CellMar>
            <w:top w:w="0" w:type="dxa"/>
            <w:left w:w="108" w:type="dxa"/>
            <w:bottom w:w="0" w:type="dxa"/>
            <w:right w:w="108" w:type="dxa"/>
          </w:tblCellMar>
        </w:tblPrEx>
        <w:trPr>
          <w:trHeight w:val="591"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指标3：解决民生问题</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CellMar>
            <w:top w:w="0" w:type="dxa"/>
            <w:left w:w="108" w:type="dxa"/>
            <w:bottom w:w="0" w:type="dxa"/>
            <w:right w:w="108" w:type="dxa"/>
          </w:tblCellMar>
        </w:tblPrEx>
        <w:trPr>
          <w:trHeight w:val="575"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指标1：慰问人员满意度</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CellMar>
            <w:top w:w="0" w:type="dxa"/>
            <w:left w:w="108" w:type="dxa"/>
            <w:bottom w:w="0" w:type="dxa"/>
            <w:right w:w="108" w:type="dxa"/>
          </w:tblCellMar>
        </w:tblPrEx>
        <w:trPr>
          <w:trHeight w:val="575"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指标2：政协委员满意度</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CellMar>
            <w:top w:w="0" w:type="dxa"/>
            <w:left w:w="108" w:type="dxa"/>
            <w:bottom w:w="0" w:type="dxa"/>
            <w:right w:w="108" w:type="dxa"/>
          </w:tblCellMar>
        </w:tblPrEx>
        <w:trPr>
          <w:trHeight w:val="616"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指标3：会员满意度</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CellMar>
            <w:top w:w="0" w:type="dxa"/>
            <w:left w:w="108" w:type="dxa"/>
            <w:bottom w:w="0" w:type="dxa"/>
            <w:right w:w="108" w:type="dxa"/>
          </w:tblCellMar>
        </w:tblPrEx>
        <w:trPr>
          <w:trHeight w:val="626" w:hRule="exact"/>
          <w:jc w:val="center"/>
        </w:trPr>
        <w:tc>
          <w:tcPr>
            <w:tcW w:w="6439" w:type="dxa"/>
            <w:gridSpan w:val="5"/>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r>
    </w:tbl>
    <w:p>
      <w:pPr>
        <w:pStyle w:val="7"/>
        <w:snapToGrid w:val="0"/>
        <w:spacing w:before="0" w:beforeAutospacing="0" w:after="0" w:afterAutospacing="0" w:line="500" w:lineRule="exact"/>
        <w:ind w:firstLine="640" w:firstLineChars="200"/>
        <w:rPr>
          <w:rFonts w:ascii="仿宋" w:hAnsi="仿宋" w:eastAsia="仿宋" w:cs="仿宋_GB2312"/>
          <w:color w:val="000000"/>
          <w:szCs w:val="32"/>
        </w:rPr>
      </w:pPr>
    </w:p>
    <w:p>
      <w:pPr>
        <w:pStyle w:val="7"/>
        <w:snapToGrid w:val="0"/>
        <w:spacing w:before="0" w:beforeAutospacing="0" w:after="0" w:afterAutospacing="0" w:line="500" w:lineRule="exact"/>
        <w:ind w:firstLine="640" w:firstLineChars="200"/>
        <w:rPr>
          <w:rFonts w:ascii="仿宋" w:hAnsi="仿宋" w:eastAsia="仿宋" w:cs="仿宋_GB2312"/>
          <w:color w:val="000000"/>
          <w:szCs w:val="32"/>
        </w:rPr>
      </w:pPr>
      <w:r>
        <w:rPr>
          <w:rFonts w:hint="eastAsia" w:ascii="仿宋" w:hAnsi="仿宋" w:eastAsia="仿宋" w:cs="仿宋_GB2312"/>
          <w:color w:val="000000"/>
          <w:szCs w:val="32"/>
        </w:rPr>
        <w:t>在九三学社海南省委员会和中共海口市委的领导下，九三学社海口市委员会</w:t>
      </w:r>
      <w:r>
        <w:rPr>
          <w:rFonts w:hint="eastAsia" w:ascii="仿宋" w:hAnsi="仿宋" w:eastAsia="仿宋" w:cs="仿宋"/>
          <w:szCs w:val="32"/>
        </w:rPr>
        <w:t>认真做好各项职能工作以及上级交办的工作，于2021年先后</w:t>
      </w:r>
      <w:r>
        <w:rPr>
          <w:rFonts w:hint="eastAsia" w:ascii="仿宋" w:hAnsi="仿宋" w:eastAsia="仿宋" w:cs="仿宋_GB2312"/>
          <w:color w:val="000000"/>
          <w:szCs w:val="32"/>
        </w:rPr>
        <w:t>荣获九三学社海南省委员会2020年度优秀基层组织称号，</w:t>
      </w:r>
      <w:r>
        <w:rPr>
          <w:rFonts w:hint="eastAsia" w:ascii="仿宋" w:hAnsi="仿宋" w:eastAsia="仿宋" w:cs="仿宋_GB2312"/>
          <w:color w:val="000000"/>
          <w:szCs w:val="32"/>
          <w:shd w:val="clear" w:color="auto" w:fill="FFFFFF"/>
        </w:rPr>
        <w:t>“海口市脱贫攻坚先进帮扶单位”。</w:t>
      </w:r>
      <w:r>
        <w:rPr>
          <w:rFonts w:hint="eastAsia" w:ascii="仿宋" w:hAnsi="仿宋" w:eastAsia="仿宋" w:cs="仿宋_GB2312"/>
          <w:color w:val="000000"/>
          <w:szCs w:val="32"/>
        </w:rPr>
        <w:t>杜富殿被九三学社中央评为“2018—2020年参政议政先进个人”，邝红梅被九三学社中央评为“九三学社全国机关工作先进个人”。</w:t>
      </w:r>
      <w:r>
        <w:rPr>
          <w:rFonts w:hint="eastAsia" w:ascii="仿宋" w:hAnsi="仿宋" w:eastAsia="仿宋" w:cs="仿宋_GB2312"/>
          <w:color w:val="000000"/>
          <w:spacing w:val="4"/>
          <w:szCs w:val="32"/>
          <w:shd w:val="clear" w:color="auto" w:fill="FFFFFF"/>
        </w:rPr>
        <w:t>王光新、王俊刚、杜富殿、吴伟、林银燕、黎岸明6人于2021年被社省委评为2020年参政议政和社情民意信息工作先进个人。</w:t>
      </w:r>
    </w:p>
    <w:p>
      <w:pPr>
        <w:pStyle w:val="7"/>
        <w:spacing w:before="0" w:beforeAutospacing="0" w:after="0" w:afterAutospacing="0" w:line="500" w:lineRule="exact"/>
        <w:ind w:firstLine="643" w:firstLineChars="200"/>
        <w:rPr>
          <w:rFonts w:ascii="仿宋" w:hAnsi="仿宋" w:eastAsia="仿宋" w:cs="仿宋_GB2312"/>
          <w:color w:val="FF0000"/>
          <w:szCs w:val="32"/>
        </w:rPr>
      </w:pPr>
      <w:r>
        <w:rPr>
          <w:rFonts w:hint="eastAsia" w:ascii="仿宋" w:hAnsi="仿宋" w:eastAsia="仿宋"/>
          <w:b/>
          <w:color w:val="000000"/>
          <w:szCs w:val="32"/>
        </w:rPr>
        <w:t>一是</w:t>
      </w:r>
      <w:r>
        <w:rPr>
          <w:rFonts w:hint="eastAsia" w:ascii="仿宋" w:hAnsi="仿宋" w:eastAsia="仿宋" w:cs="黑体"/>
          <w:b/>
          <w:color w:val="000000"/>
          <w:szCs w:val="32"/>
        </w:rPr>
        <w:t>重视政治学习，坚定政治信念。</w:t>
      </w:r>
      <w:r>
        <w:rPr>
          <w:rFonts w:hint="eastAsia" w:ascii="仿宋" w:hAnsi="仿宋" w:eastAsia="仿宋" w:cs="黑体"/>
          <w:color w:val="000000"/>
          <w:szCs w:val="32"/>
        </w:rPr>
        <w:t>召开</w:t>
      </w:r>
      <w:r>
        <w:rPr>
          <w:rFonts w:hint="eastAsia" w:ascii="仿宋" w:hAnsi="仿宋" w:eastAsia="仿宋" w:cs="仿宋_GB2312"/>
          <w:szCs w:val="32"/>
        </w:rPr>
        <w:t>主委（扩大）会、</w:t>
      </w:r>
      <w:r>
        <w:rPr>
          <w:rFonts w:hint="eastAsia" w:ascii="仿宋" w:hAnsi="仿宋" w:eastAsia="仿宋" w:cs="仿宋_GB2312"/>
          <w:bCs/>
          <w:szCs w:val="32"/>
        </w:rPr>
        <w:t>全委员会等16次，</w:t>
      </w:r>
      <w:r>
        <w:rPr>
          <w:rFonts w:hint="eastAsia" w:ascii="仿宋" w:hAnsi="仿宋" w:eastAsia="仿宋" w:cs="仿宋_GB2312"/>
          <w:bCs/>
          <w:color w:val="000000"/>
          <w:szCs w:val="32"/>
        </w:rPr>
        <w:t>注重提高社市委领导班子政治理论水平</w:t>
      </w:r>
      <w:r>
        <w:rPr>
          <w:rFonts w:hint="eastAsia" w:ascii="仿宋" w:hAnsi="仿宋" w:eastAsia="仿宋" w:cs="仿宋_GB2312"/>
          <w:color w:val="000000"/>
          <w:szCs w:val="32"/>
        </w:rPr>
        <w:t>，</w:t>
      </w:r>
      <w:r>
        <w:rPr>
          <w:rFonts w:hint="eastAsia" w:ascii="仿宋" w:hAnsi="仿宋" w:eastAsia="仿宋" w:cs="仿宋_GB2312"/>
          <w:bCs/>
          <w:color w:val="000000"/>
          <w:szCs w:val="32"/>
        </w:rPr>
        <w:t>围绕</w:t>
      </w:r>
      <w:r>
        <w:rPr>
          <w:rFonts w:hint="eastAsia" w:ascii="仿宋" w:hAnsi="仿宋" w:eastAsia="仿宋" w:cs="仿宋_GB2312"/>
          <w:color w:val="000000"/>
          <w:szCs w:val="32"/>
          <w:shd w:val="clear" w:color="auto" w:fill="FFFFFF"/>
        </w:rPr>
        <w:t>《中共中央关于党的百年奋斗重大成就和历史经验的决议》、《中国共产党统一战线工作条例》</w:t>
      </w:r>
      <w:r>
        <w:rPr>
          <w:rFonts w:hint="eastAsia" w:ascii="仿宋" w:hAnsi="仿宋" w:eastAsia="仿宋" w:cs="仿宋_GB2312"/>
          <w:color w:val="000000"/>
          <w:spacing w:val="5"/>
          <w:szCs w:val="32"/>
        </w:rPr>
        <w:t>等</w:t>
      </w:r>
      <w:r>
        <w:rPr>
          <w:rFonts w:hint="eastAsia" w:ascii="仿宋" w:hAnsi="仿宋" w:eastAsia="仿宋" w:cs="仿宋_GB2312"/>
          <w:szCs w:val="32"/>
        </w:rPr>
        <w:t>中央、省、市重要文件会议精神</w:t>
      </w:r>
      <w:r>
        <w:rPr>
          <w:rFonts w:hint="eastAsia" w:ascii="仿宋" w:hAnsi="仿宋" w:eastAsia="仿宋" w:cs="仿宋_GB2312"/>
          <w:color w:val="000000"/>
          <w:spacing w:val="5"/>
          <w:szCs w:val="32"/>
        </w:rPr>
        <w:t>开展全面传达和多种形式的学习。组织开展中共党史、新中国史、改革开放史、社会主义发展史、多党合作史和九三学社社史等内容的进一步深化学习，组织社员学习习近</w:t>
      </w:r>
      <w:r>
        <w:rPr>
          <w:rFonts w:hint="eastAsia" w:ascii="仿宋" w:hAnsi="仿宋" w:eastAsia="仿宋" w:cs="仿宋_GB2312"/>
          <w:color w:val="000000"/>
          <w:szCs w:val="32"/>
          <w:shd w:val="clear" w:color="auto" w:fill="FFFFFF"/>
        </w:rPr>
        <w:t>平总书记“七一”重要讲话、</w:t>
      </w:r>
      <w:r>
        <w:rPr>
          <w:rFonts w:hint="eastAsia" w:ascii="仿宋" w:hAnsi="仿宋" w:eastAsia="仿宋" w:cs="仿宋_GB2312"/>
          <w:bCs/>
          <w:color w:val="000000"/>
          <w:szCs w:val="32"/>
        </w:rPr>
        <w:t>习近平在纪念辛亥革命110周年大会上的讲话等重要精神，</w:t>
      </w:r>
      <w:r>
        <w:rPr>
          <w:rFonts w:hint="eastAsia" w:ascii="仿宋" w:hAnsi="仿宋" w:eastAsia="仿宋" w:cs="仿宋_GB2312"/>
          <w:color w:val="000000"/>
          <w:szCs w:val="32"/>
        </w:rPr>
        <w:t>参观中共琼崖一大会址、冯白驹故居、琼崖红军云龙改编旧址等红色教育基地，参加社中央机关干部（扩大）培训班，开展中共党史等“五史”教育线上学习等活动，增强组织的凝聚力和活力，坚定跟党走的政治觉悟。</w:t>
      </w:r>
      <w:r>
        <w:rPr>
          <w:rFonts w:hint="eastAsia" w:ascii="仿宋" w:hAnsi="仿宋" w:eastAsia="仿宋" w:cs="仿宋_GB2312"/>
          <w:bCs/>
          <w:szCs w:val="32"/>
        </w:rPr>
        <w:t>开展丰富多彩的实践学习，</w:t>
      </w:r>
      <w:r>
        <w:rPr>
          <w:rFonts w:hint="eastAsia" w:ascii="仿宋" w:hAnsi="仿宋" w:eastAsia="仿宋" w:cs="仿宋_GB2312"/>
          <w:szCs w:val="32"/>
        </w:rPr>
        <w:t>举办并组织社员168人次参加学习贯彻习近平总书记在深圳经济特区建立40周年庆祝大会上的重要讲话精神、九三学社中央关于学习贯彻中共十九届五中全会精神的决议、《海南自贸港建设总体方案》、十九届六中全会精神宣讲会议等23场学习培训，参加青年社员网络培训，进一步统一思想认识，坚定走中国特色社会主义发展道路的政治信念。</w:t>
      </w:r>
      <w:r>
        <w:rPr>
          <w:rFonts w:hint="eastAsia" w:ascii="仿宋" w:hAnsi="仿宋" w:eastAsia="仿宋" w:cs="仿宋_GB2312"/>
          <w:bCs/>
          <w:color w:val="000000"/>
          <w:szCs w:val="32"/>
        </w:rPr>
        <w:t>构建网站、建设文化墙，</w:t>
      </w:r>
      <w:r>
        <w:rPr>
          <w:rFonts w:hint="eastAsia" w:ascii="仿宋" w:hAnsi="仿宋" w:eastAsia="仿宋" w:cs="仿宋_GB2312"/>
          <w:szCs w:val="32"/>
        </w:rPr>
        <w:t>向各级单位报送48篇宣传信息，其中被团结网报道2篇、社中央网站报道3篇、社省委网站报道32篇、市委统战部网站报道31篇，</w:t>
      </w:r>
      <w:r>
        <w:rPr>
          <w:rFonts w:hint="eastAsia" w:ascii="仿宋" w:hAnsi="仿宋" w:eastAsia="仿宋" w:cs="仿宋_GB2312"/>
          <w:color w:val="000000"/>
          <w:szCs w:val="32"/>
        </w:rPr>
        <w:t>海口九三学社的“好声音”得到有效传播；</w:t>
      </w:r>
      <w:r>
        <w:rPr>
          <w:rFonts w:hint="eastAsia" w:ascii="仿宋" w:hAnsi="仿宋" w:eastAsia="仿宋" w:cs="仿宋_GB2312"/>
          <w:color w:val="000000"/>
          <w:szCs w:val="32"/>
          <w:shd w:val="clear" w:color="auto" w:fill="FFFFFF"/>
        </w:rPr>
        <w:t>在社中央资金支持下，开展文化墙建设，展现</w:t>
      </w:r>
      <w:r>
        <w:rPr>
          <w:rFonts w:hint="eastAsia" w:ascii="仿宋" w:hAnsi="仿宋" w:eastAsia="仿宋" w:cs="仿宋_GB2312"/>
          <w:color w:val="000000"/>
          <w:szCs w:val="32"/>
        </w:rPr>
        <w:t>社市委成立3</w:t>
      </w:r>
      <w:r>
        <w:rPr>
          <w:rFonts w:ascii="仿宋" w:hAnsi="仿宋" w:eastAsia="仿宋" w:cs="仿宋_GB2312"/>
          <w:color w:val="000000"/>
          <w:szCs w:val="32"/>
        </w:rPr>
        <w:t>0</w:t>
      </w:r>
      <w:r>
        <w:rPr>
          <w:rFonts w:hint="eastAsia" w:ascii="仿宋" w:hAnsi="仿宋" w:eastAsia="仿宋" w:cs="仿宋_GB2312"/>
          <w:color w:val="000000"/>
          <w:szCs w:val="32"/>
        </w:rPr>
        <w:t>多年来优秀工作成果和靓丽的风采</w:t>
      </w:r>
      <w:r>
        <w:rPr>
          <w:rFonts w:hint="eastAsia" w:ascii="仿宋" w:hAnsi="仿宋" w:eastAsia="仿宋" w:cs="仿宋_GB2312"/>
          <w:color w:val="000000"/>
          <w:szCs w:val="32"/>
          <w:shd w:val="clear" w:color="auto" w:fill="FFFFFF"/>
        </w:rPr>
        <w:t>。</w:t>
      </w:r>
    </w:p>
    <w:p>
      <w:pPr>
        <w:spacing w:line="500" w:lineRule="exact"/>
        <w:ind w:firstLine="643" w:firstLineChars="200"/>
        <w:rPr>
          <w:rFonts w:ascii="仿宋" w:hAnsi="仿宋" w:eastAsia="仿宋" w:cs="仿宋_GB2312"/>
          <w:color w:val="FF0000"/>
          <w:szCs w:val="32"/>
        </w:rPr>
      </w:pPr>
      <w:r>
        <w:rPr>
          <w:rFonts w:hint="eastAsia" w:ascii="仿宋" w:hAnsi="仿宋" w:eastAsia="仿宋" w:cs="黑体"/>
          <w:b/>
          <w:color w:val="000000"/>
          <w:szCs w:val="32"/>
        </w:rPr>
        <w:t>二是</w:t>
      </w:r>
      <w:r>
        <w:rPr>
          <w:rFonts w:hint="eastAsia" w:ascii="仿宋" w:hAnsi="仿宋" w:eastAsia="仿宋"/>
          <w:b/>
          <w:color w:val="000000"/>
          <w:szCs w:val="32"/>
        </w:rPr>
        <w:t>顺利完成换届，组织建设扎实推进。</w:t>
      </w:r>
      <w:r>
        <w:rPr>
          <w:rFonts w:hint="eastAsia" w:ascii="仿宋" w:hAnsi="仿宋" w:eastAsia="仿宋" w:cs="仿宋_GB2312"/>
          <w:color w:val="000000"/>
          <w:szCs w:val="32"/>
          <w:shd w:val="clear" w:color="auto" w:fill="FFFFFF"/>
        </w:rPr>
        <w:t>社市委以</w:t>
      </w:r>
      <w:r>
        <w:rPr>
          <w:rStyle w:val="10"/>
          <w:rFonts w:hint="eastAsia" w:ascii="仿宋" w:hAnsi="仿宋" w:eastAsia="仿宋" w:cs="仿宋_GB2312"/>
          <w:color w:val="000000"/>
          <w:szCs w:val="32"/>
        </w:rPr>
        <w:t>《九三学社章程》、《九三学社海南省委员会关于市县级组织2021年换届工作的意见</w:t>
      </w:r>
      <w:r>
        <w:rPr>
          <w:rFonts w:hint="eastAsia" w:ascii="仿宋" w:hAnsi="仿宋" w:eastAsia="仿宋" w:cs="仿宋_GB2312"/>
          <w:b/>
          <w:color w:val="000000"/>
          <w:szCs w:val="32"/>
        </w:rPr>
        <w:t>》、</w:t>
      </w:r>
      <w:r>
        <w:rPr>
          <w:rStyle w:val="10"/>
          <w:rFonts w:hint="eastAsia" w:ascii="仿宋" w:hAnsi="仿宋" w:eastAsia="仿宋" w:cs="仿宋_GB2312"/>
          <w:b w:val="0"/>
          <w:bCs w:val="0"/>
          <w:color w:val="000000"/>
          <w:szCs w:val="32"/>
        </w:rPr>
        <w:t>《</w:t>
      </w:r>
      <w:r>
        <w:rPr>
          <w:rFonts w:hint="eastAsia" w:ascii="仿宋" w:hAnsi="仿宋" w:eastAsia="仿宋" w:cs="仿宋_GB2312"/>
          <w:color w:val="000000"/>
          <w:szCs w:val="32"/>
        </w:rPr>
        <w:t>九三学社海口市委员会关于2021年换届工作实施方案》</w:t>
      </w:r>
      <w:r>
        <w:rPr>
          <w:rFonts w:hint="eastAsia" w:ascii="仿宋" w:hAnsi="仿宋" w:eastAsia="仿宋" w:cs="仿宋_GB2312"/>
          <w:color w:val="000000"/>
          <w:szCs w:val="32"/>
          <w:shd w:val="clear" w:color="auto" w:fill="FFFFFF"/>
        </w:rPr>
        <w:t>为依据，于2021年</w:t>
      </w:r>
      <w:r>
        <w:rPr>
          <w:rFonts w:hint="eastAsia" w:ascii="仿宋" w:hAnsi="仿宋" w:eastAsia="仿宋" w:cs="仿宋_GB2312"/>
          <w:color w:val="000000"/>
          <w:spacing w:val="4"/>
          <w:szCs w:val="32"/>
          <w:shd w:val="clear" w:color="auto" w:fill="FFFFFF"/>
        </w:rPr>
        <w:t>9月25日—10月10日完成社市委和美兰区、龙华区、琼山区、秀英区4个基层委员会的换届工作，顺利实现了政治交接，为更好地履行参政党职能提供了坚强的组织保障。</w:t>
      </w:r>
      <w:r>
        <w:rPr>
          <w:rFonts w:hint="eastAsia" w:ascii="仿宋" w:hAnsi="仿宋" w:eastAsia="仿宋" w:cs="仿宋_GB2312"/>
          <w:bCs/>
          <w:color w:val="000000"/>
          <w:szCs w:val="32"/>
        </w:rPr>
        <w:t>抓好组织建设，</w:t>
      </w:r>
      <w:r>
        <w:rPr>
          <w:rFonts w:hint="eastAsia" w:ascii="仿宋" w:hAnsi="仿宋" w:eastAsia="仿宋" w:cs="仿宋_GB2312"/>
          <w:color w:val="000000"/>
          <w:szCs w:val="32"/>
        </w:rPr>
        <w:t>加强</w:t>
      </w:r>
      <w:r>
        <w:rPr>
          <w:rFonts w:hint="eastAsia" w:ascii="仿宋" w:hAnsi="仿宋" w:eastAsia="仿宋"/>
          <w:color w:val="000000"/>
          <w:szCs w:val="32"/>
        </w:rPr>
        <w:t>贯彻落实《中共中央关于加强中国特色社会主义参政党建设的意见》等重要文件精神，按照政治坚定、组织坚实、履职有力、作风优良、制度健全的要求抓好组织发展建设。</w:t>
      </w:r>
      <w:r>
        <w:rPr>
          <w:rFonts w:hint="eastAsia" w:ascii="仿宋" w:hAnsi="仿宋" w:eastAsia="仿宋" w:cs="仿宋_GB2312"/>
          <w:color w:val="000000"/>
          <w:szCs w:val="32"/>
          <w:shd w:val="clear" w:color="auto" w:fill="FFFFFF"/>
        </w:rPr>
        <w:t>开展</w:t>
      </w:r>
      <w:r>
        <w:rPr>
          <w:rFonts w:hint="eastAsia" w:ascii="仿宋" w:hAnsi="仿宋" w:eastAsia="仿宋"/>
          <w:color w:val="000000"/>
          <w:szCs w:val="32"/>
        </w:rPr>
        <w:t>社基层组织社员系统社员信息维护工作。</w:t>
      </w:r>
      <w:r>
        <w:rPr>
          <w:rFonts w:hint="eastAsia" w:ascii="仿宋" w:hAnsi="仿宋" w:eastAsia="仿宋" w:cs="仿宋_GB2312"/>
          <w:color w:val="000000"/>
          <w:szCs w:val="32"/>
          <w:shd w:val="clear" w:color="auto" w:fill="FFFFFF"/>
        </w:rPr>
        <w:t>社市委集合市政协、市区人大换届和区政协成立契机，着力加强代表人士队伍建设工作，</w:t>
      </w:r>
      <w:r>
        <w:rPr>
          <w:rFonts w:hint="eastAsia" w:ascii="仿宋" w:hAnsi="仿宋" w:eastAsia="仿宋" w:cs="仿宋_GB2312"/>
          <w:color w:val="000000"/>
          <w:szCs w:val="32"/>
        </w:rPr>
        <w:t>在市委统战部、区委统战部的关怀和指导下，顺利开展市人大代表、市政协委员、区人大代表、区政协委员等的推荐工作。注重按照程序发展培养社员，截至2021年12月，拥有社员250名，社员李林《海洋宽频地探关键技术及规模应用》获得“2021年度中国石油和化工自动化行业科学技术奖——科技进步奖”一等奖。社员南海《新租准则下售后租回交易会计处理探讨》在核心期刊《中国注册会计师杂志》发表。社员黎岸明2021年被聘为工业和信息化部教育与考试中心专家库专家、中国通信服条股份有公司CCS专家、中国通信服务股份有限公司知识产权评专家。</w:t>
      </w:r>
    </w:p>
    <w:p>
      <w:pPr>
        <w:spacing w:line="500" w:lineRule="exact"/>
        <w:ind w:firstLine="643" w:firstLineChars="200"/>
        <w:rPr>
          <w:rFonts w:ascii="仿宋" w:hAnsi="仿宋" w:eastAsia="仿宋" w:cs="仿宋_GB2312"/>
          <w:color w:val="000000"/>
          <w:szCs w:val="32"/>
        </w:rPr>
      </w:pPr>
      <w:r>
        <w:rPr>
          <w:rFonts w:hint="eastAsia" w:ascii="仿宋" w:hAnsi="仿宋" w:eastAsia="仿宋" w:cs="黑体"/>
          <w:b/>
          <w:color w:val="000000"/>
          <w:szCs w:val="32"/>
        </w:rPr>
        <w:t>三是积极参政议政，履行民主监督。</w:t>
      </w:r>
      <w:r>
        <w:rPr>
          <w:rFonts w:hint="eastAsia" w:ascii="仿宋" w:hAnsi="仿宋" w:eastAsia="仿宋" w:cs="黑体"/>
          <w:color w:val="000000"/>
          <w:szCs w:val="32"/>
        </w:rPr>
        <w:t>（1）</w:t>
      </w:r>
      <w:r>
        <w:rPr>
          <w:rFonts w:hint="eastAsia" w:ascii="仿宋" w:hAnsi="仿宋" w:eastAsia="仿宋"/>
          <w:color w:val="000000"/>
          <w:szCs w:val="32"/>
        </w:rPr>
        <w:t>社市委紧紧围绕中共海口市委、市政府的中心工作，发挥优势，深入调研，反映实情，认真履行参政党职能，为海口经济社会发展建言献策。2021年社市委有5名市人大代表、9名市政协委员，累计提交市人大代表建议案7件、市政协集体提案6件（政协副主席督办案1件）、大会发言材料3件（集体1件和个人2件）、个人提案14件（重点提案2件）。</w:t>
      </w:r>
      <w:r>
        <w:rPr>
          <w:rFonts w:hint="eastAsia" w:ascii="仿宋" w:hAnsi="仿宋" w:eastAsia="仿宋" w:cs="仿宋_GB2312"/>
          <w:bCs/>
          <w:color w:val="000000"/>
          <w:szCs w:val="32"/>
          <w:shd w:val="clear" w:color="auto" w:fill="FFFFFF"/>
        </w:rPr>
        <w:t>2021年，</w:t>
      </w:r>
      <w:r>
        <w:rPr>
          <w:rFonts w:hint="eastAsia" w:ascii="仿宋" w:hAnsi="仿宋" w:eastAsia="仿宋" w:cs="仿宋_GB2312"/>
          <w:color w:val="000000"/>
          <w:szCs w:val="32"/>
        </w:rPr>
        <w:t>社市委提交的市政协集体提案《关于进一步推进海口市农产品深加工业发展的建议》被列为2021年市政协重点提案并作为韩斌副主席督办案，杜富殿主委和社员韩旻参加由韩斌副主席主持召开的提案现场督办会议。社员顾建中的个人提案《关于加快海口国际化大宗商品交易场所建设的建议》和社</w:t>
      </w:r>
      <w:r>
        <w:rPr>
          <w:rFonts w:hint="eastAsia" w:ascii="仿宋" w:hAnsi="仿宋" w:eastAsia="仿宋" w:cs="仿宋_GB2312"/>
          <w:bCs/>
          <w:color w:val="000000"/>
          <w:szCs w:val="32"/>
          <w:shd w:val="clear" w:color="auto" w:fill="FFFFFF"/>
        </w:rPr>
        <w:t>员</w:t>
      </w:r>
      <w:r>
        <w:rPr>
          <w:rFonts w:hint="eastAsia" w:ascii="仿宋" w:hAnsi="仿宋" w:eastAsia="仿宋" w:cs="仿宋_GB2312"/>
          <w:color w:val="000000"/>
          <w:szCs w:val="32"/>
          <w:shd w:val="clear" w:color="auto" w:fill="FFFFFF"/>
        </w:rPr>
        <w:t>徐宏的个人提案《关于加快推进海口市秀英区全域旅游发展的建议》被列为市政协2021年重点提案。社员顾建中还围绕《</w:t>
      </w:r>
      <w:r>
        <w:rPr>
          <w:rFonts w:hint="eastAsia" w:ascii="仿宋" w:hAnsi="仿宋" w:eastAsia="仿宋" w:cs="仿宋_GB2312"/>
          <w:szCs w:val="32"/>
        </w:rPr>
        <w:t>关于建设完全与国际接轨的海口大宗商品交易场所的对策建议</w:t>
      </w:r>
      <w:r>
        <w:rPr>
          <w:rFonts w:hint="eastAsia" w:ascii="仿宋" w:hAnsi="仿宋" w:eastAsia="仿宋" w:cs="仿宋_GB2312"/>
          <w:color w:val="000000"/>
          <w:szCs w:val="32"/>
          <w:shd w:val="clear" w:color="auto" w:fill="FFFFFF"/>
        </w:rPr>
        <w:t>》进行专题调研。（2）社市委积极</w:t>
      </w:r>
      <w:r>
        <w:rPr>
          <w:rFonts w:hint="eastAsia" w:ascii="仿宋" w:hAnsi="仿宋" w:eastAsia="仿宋" w:cs="仿宋_GB2312"/>
          <w:bCs/>
          <w:color w:val="000000"/>
          <w:szCs w:val="32"/>
        </w:rPr>
        <w:t>组织社员参加海口市政党协商、政府工作报告征求意见会、“十四五”规划座谈会、海口市政协常委会工作报告征求意见座谈会等多场重要会议活动，推荐社员担任特约监察员，切实履行民主监督职责。社员余莉担任海口市中级人民法院特约监督员，社员陈天新担任中共海口市委、市政府聘任的海口市作风监督专员（特邀监察员），社员陈柯妤担任龙华区民主党派纪检监督员等，为服务</w:t>
      </w:r>
      <w:r>
        <w:rPr>
          <w:rFonts w:hint="eastAsia" w:ascii="仿宋" w:hAnsi="仿宋" w:eastAsia="仿宋" w:cs="仿宋_GB2312"/>
          <w:color w:val="000000"/>
          <w:szCs w:val="32"/>
          <w:shd w:val="clear" w:color="auto" w:fill="FFFFFF"/>
        </w:rPr>
        <w:t>海南全面深化改革开放和中国特色自由贸易港建设</w:t>
      </w:r>
      <w:r>
        <w:rPr>
          <w:rFonts w:hint="eastAsia" w:ascii="仿宋" w:hAnsi="仿宋" w:eastAsia="仿宋" w:cs="仿宋_GB2312"/>
          <w:color w:val="000000"/>
          <w:szCs w:val="32"/>
        </w:rPr>
        <w:t>发挥民主监督职能</w:t>
      </w:r>
      <w:r>
        <w:rPr>
          <w:rFonts w:hint="eastAsia" w:ascii="仿宋" w:hAnsi="仿宋" w:eastAsia="仿宋" w:cs="仿宋_GB2312"/>
          <w:bCs/>
          <w:color w:val="000000"/>
          <w:szCs w:val="32"/>
        </w:rPr>
        <w:t>，</w:t>
      </w:r>
      <w:r>
        <w:rPr>
          <w:rFonts w:hint="eastAsia" w:ascii="仿宋" w:hAnsi="仿宋" w:eastAsia="仿宋" w:cs="仿宋_GB2312"/>
          <w:color w:val="000000"/>
          <w:szCs w:val="32"/>
        </w:rPr>
        <w:t>积极建言献策，知情出力。</w:t>
      </w:r>
    </w:p>
    <w:p>
      <w:pPr>
        <w:spacing w:line="500" w:lineRule="exact"/>
        <w:ind w:firstLine="643" w:firstLineChars="200"/>
        <w:rPr>
          <w:rFonts w:ascii="仿宋" w:hAnsi="仿宋" w:eastAsia="仿宋" w:cs="仿宋_GB2312"/>
          <w:bCs/>
          <w:color w:val="FF0000"/>
          <w:szCs w:val="32"/>
          <w:shd w:val="clear" w:color="auto" w:fill="FFFFFF"/>
        </w:rPr>
      </w:pPr>
      <w:r>
        <w:rPr>
          <w:rFonts w:hint="eastAsia" w:ascii="仿宋" w:hAnsi="仿宋" w:eastAsia="仿宋" w:cs="黑体"/>
          <w:b/>
          <w:color w:val="000000"/>
          <w:szCs w:val="32"/>
        </w:rPr>
        <w:t>四是发挥党派优势，开展社会服务。</w:t>
      </w:r>
      <w:r>
        <w:rPr>
          <w:rFonts w:hint="eastAsia" w:ascii="仿宋" w:hAnsi="仿宋" w:eastAsia="仿宋" w:cs="黑体"/>
          <w:color w:val="000000"/>
          <w:szCs w:val="32"/>
        </w:rPr>
        <w:t>（1）</w:t>
      </w:r>
      <w:r>
        <w:rPr>
          <w:rFonts w:hint="eastAsia" w:ascii="仿宋" w:hAnsi="仿宋" w:eastAsia="仿宋" w:cs="仿宋_GB2312"/>
          <w:bCs/>
          <w:color w:val="000000"/>
          <w:szCs w:val="32"/>
        </w:rPr>
        <w:t>在“九琼合作”平台上开展特色服务。</w:t>
      </w:r>
      <w:r>
        <w:rPr>
          <w:rFonts w:hint="eastAsia" w:ascii="仿宋" w:hAnsi="仿宋" w:eastAsia="仿宋" w:cs="仿宋_GB2312"/>
          <w:szCs w:val="32"/>
        </w:rPr>
        <w:t>响应中共中央支持海南全面深化改革开放的决定，助力海南建设国家生态文明试验区和实施乡村振兴战略，在社省委的支持下，发挥特色自身优势，开展多方面工作。一是加强社内组织交流。通过与广东湛江、云南、内蒙古等地基层组织交流，打成地方组织合作；二是积极寻找合作机会开展</w:t>
      </w:r>
      <w:r>
        <w:rPr>
          <w:rFonts w:hint="eastAsia" w:ascii="仿宋" w:hAnsi="仿宋" w:eastAsia="仿宋" w:cs="仿宋_GB2312"/>
          <w:bCs/>
          <w:szCs w:val="32"/>
        </w:rPr>
        <w:t>亮康行动</w:t>
      </w:r>
      <w:r>
        <w:rPr>
          <w:rFonts w:hint="eastAsia" w:ascii="仿宋" w:hAnsi="仿宋" w:eastAsia="仿宋" w:cs="仿宋_GB2312"/>
          <w:szCs w:val="32"/>
        </w:rPr>
        <w:t>。推进以社员企业海口中山医院为基地，在九三学社中央亮康行动基金的支持下，引入九三学社人才和技术，依托海口市城乡医疗保险、海口市慈善总会为基础，重点解决市振兴农村局、民政局、残联等部门推荐的农村低收入及困难群众实行精准帮扶。（</w:t>
      </w:r>
      <w:r>
        <w:rPr>
          <w:rFonts w:hint="eastAsia" w:ascii="仿宋" w:hAnsi="仿宋" w:eastAsia="仿宋" w:cs="仿宋_GB2312"/>
          <w:color w:val="000000"/>
          <w:szCs w:val="32"/>
        </w:rPr>
        <w:t>2）</w:t>
      </w:r>
      <w:r>
        <w:rPr>
          <w:rFonts w:hint="eastAsia" w:ascii="仿宋" w:hAnsi="仿宋" w:eastAsia="仿宋" w:cs="仿宋_GB2312"/>
          <w:bCs/>
          <w:color w:val="000000"/>
          <w:szCs w:val="32"/>
        </w:rPr>
        <w:t>多渠道开展乡村振兴工作。</w:t>
      </w:r>
      <w:r>
        <w:rPr>
          <w:rFonts w:hint="eastAsia" w:ascii="仿宋" w:hAnsi="仿宋" w:eastAsia="仿宋" w:cs="仿宋_GB2312"/>
          <w:color w:val="000000"/>
          <w:szCs w:val="32"/>
        </w:rPr>
        <w:t>全年累计实地走访21次，其中节日慰问3次，赠送食品合计1800元；开展“讲党史 感党恩 促发展”走访慰问，激发帮扶户自生动力；结合中共党史学习开展乡村振兴农产品采购活动，积极参与海口市组织的线上线下消费扶贫活动，累计购买农产品近3000元。</w:t>
      </w:r>
      <w:r>
        <w:rPr>
          <w:rFonts w:hint="eastAsia" w:ascii="仿宋" w:hAnsi="仿宋" w:eastAsia="仿宋" w:cs="仿宋_GB2312"/>
          <w:color w:val="000000"/>
          <w:szCs w:val="32"/>
          <w:shd w:val="clear" w:color="auto" w:fill="FFFFFF"/>
        </w:rPr>
        <w:t>社员李振昊于2021年被海口市评为2020年“优秀帮扶责任人”。</w:t>
      </w:r>
      <w:r>
        <w:rPr>
          <w:rFonts w:hint="eastAsia" w:ascii="仿宋" w:hAnsi="仿宋" w:eastAsia="仿宋" w:cs="仿宋_GB2312"/>
          <w:szCs w:val="32"/>
        </w:rPr>
        <w:t>（3）</w:t>
      </w:r>
      <w:r>
        <w:rPr>
          <w:rFonts w:hint="eastAsia" w:ascii="仿宋" w:hAnsi="仿宋" w:eastAsia="仿宋" w:cs="仿宋_GB2312"/>
          <w:szCs w:val="32"/>
          <w:shd w:val="clear" w:color="auto" w:fill="FFFFFF"/>
        </w:rPr>
        <w:t>积极参与社会文明大行动（巩文巩卫）。</w:t>
      </w:r>
      <w:r>
        <w:rPr>
          <w:rFonts w:hint="eastAsia" w:ascii="仿宋" w:hAnsi="仿宋" w:eastAsia="仿宋" w:cs="仿宋_GB2312"/>
          <w:bCs/>
          <w:szCs w:val="32"/>
          <w:shd w:val="clear" w:color="auto" w:fill="FFFFFF"/>
        </w:rPr>
        <w:t>累计组织社员35人次参加挂点白龙街道振兴社区的“四爱”环境卫生大扫除义务劳动、新冠疫情防控、消防器材检查、禁燃烟花宣传等社会文明大行动（巩文巩卫）志愿活动。（</w:t>
      </w:r>
      <w:r>
        <w:rPr>
          <w:rFonts w:hint="eastAsia" w:ascii="仿宋" w:hAnsi="仿宋" w:eastAsia="仿宋" w:cs="仿宋_GB2312"/>
          <w:szCs w:val="32"/>
          <w:shd w:val="clear" w:color="auto" w:fill="FFFFFF"/>
        </w:rPr>
        <w:t>4）落实上级安排的平安建设、保密工作、法制建设等工作。</w:t>
      </w:r>
      <w:r>
        <w:rPr>
          <w:rFonts w:hint="eastAsia" w:ascii="仿宋" w:hAnsi="仿宋" w:eastAsia="仿宋" w:cs="仿宋_GB2312"/>
          <w:bCs/>
          <w:szCs w:val="32"/>
          <w:shd w:val="clear" w:color="auto" w:fill="FFFFFF"/>
        </w:rPr>
        <w:t>按照中共海口市委、市政府的工作安排，落实平安建设、保密工作、法治建设等工作会议要求和文件精神，制定相应工作计划及领导小组，在主委会上学习部署，积极参加上级组织的相关工作培训，提高业务知识，确保各项规章制度落实落细。</w:t>
      </w:r>
    </w:p>
    <w:p>
      <w:pPr>
        <w:spacing w:line="560" w:lineRule="exact"/>
        <w:ind w:firstLine="643" w:firstLineChars="200"/>
        <w:rPr>
          <w:rFonts w:ascii="仿宋" w:hAnsi="仿宋" w:eastAsia="仿宋" w:cs="仿宋"/>
          <w:szCs w:val="32"/>
        </w:rPr>
      </w:pPr>
      <w:r>
        <w:rPr>
          <w:rFonts w:hint="eastAsia" w:ascii="仿宋" w:hAnsi="仿宋" w:eastAsia="仿宋" w:cs="黑体"/>
          <w:b/>
          <w:szCs w:val="32"/>
        </w:rPr>
        <w:t>五是机关能力建设提质增效，为各项工作提供坚强保障。</w:t>
      </w:r>
      <w:r>
        <w:rPr>
          <w:rFonts w:hint="eastAsia" w:ascii="仿宋" w:hAnsi="仿宋" w:eastAsia="仿宋" w:cs="仿宋_GB2312"/>
          <w:szCs w:val="32"/>
        </w:rPr>
        <w:t>加强机关管理，机关团结协作、积极向上的良好氛围浓厚，成效突出。</w:t>
      </w:r>
      <w:r>
        <w:rPr>
          <w:rFonts w:hint="eastAsia" w:ascii="仿宋" w:hAnsi="仿宋" w:eastAsia="仿宋" w:cs="仿宋_GB2312"/>
          <w:bCs/>
          <w:szCs w:val="32"/>
        </w:rPr>
        <w:t>完善机关制度建设，</w:t>
      </w:r>
      <w:r>
        <w:rPr>
          <w:rFonts w:hint="eastAsia" w:ascii="仿宋" w:hAnsi="仿宋" w:eastAsia="仿宋" w:cs="仿宋_GB2312"/>
          <w:szCs w:val="32"/>
        </w:rPr>
        <w:t>通过建立和完善《领导班子分工》、《</w:t>
      </w:r>
      <w:r>
        <w:rPr>
          <w:rFonts w:hint="eastAsia" w:ascii="仿宋" w:hAnsi="仿宋" w:eastAsia="仿宋"/>
          <w:color w:val="191919"/>
          <w:spacing w:val="5"/>
          <w:szCs w:val="32"/>
          <w:shd w:val="clear" w:color="auto" w:fill="FFFFFF"/>
        </w:rPr>
        <w:t>机关工作人员分工</w:t>
      </w:r>
      <w:r>
        <w:rPr>
          <w:rFonts w:hint="eastAsia" w:ascii="仿宋" w:hAnsi="仿宋" w:eastAsia="仿宋" w:cs="仿宋_GB2312"/>
          <w:szCs w:val="32"/>
        </w:rPr>
        <w:t>》</w:t>
      </w:r>
      <w:r>
        <w:rPr>
          <w:rFonts w:hint="eastAsia" w:ascii="仿宋" w:hAnsi="仿宋" w:eastAsia="仿宋"/>
          <w:color w:val="191919"/>
          <w:spacing w:val="5"/>
          <w:szCs w:val="32"/>
          <w:shd w:val="clear" w:color="auto" w:fill="FFFFFF"/>
        </w:rPr>
        <w:t>、《机关办公用品采购及管理办法》、《奖励办法》</w:t>
      </w:r>
      <w:r>
        <w:rPr>
          <w:rFonts w:hint="eastAsia" w:ascii="仿宋" w:hAnsi="仿宋" w:eastAsia="仿宋" w:cs="仿宋_GB2312"/>
          <w:szCs w:val="32"/>
        </w:rPr>
        <w:t>等方面的规则制度，将工作任务进行细化和分解，提高工作的规范化、程序化和科学化。</w:t>
      </w:r>
      <w:r>
        <w:rPr>
          <w:rFonts w:hint="eastAsia" w:ascii="仿宋" w:hAnsi="仿宋" w:eastAsia="仿宋" w:cs="仿宋_GB2312"/>
          <w:bCs/>
          <w:color w:val="000000"/>
          <w:szCs w:val="32"/>
          <w:shd w:val="clear" w:color="auto" w:fill="FFFFFF"/>
        </w:rPr>
        <w:t>加强社组织交流学习</w:t>
      </w:r>
      <w:r>
        <w:rPr>
          <w:rFonts w:hint="eastAsia" w:ascii="仿宋" w:hAnsi="仿宋" w:eastAsia="仿宋" w:cs="仿宋_GB2312"/>
          <w:color w:val="000000"/>
          <w:szCs w:val="32"/>
          <w:shd w:val="clear" w:color="auto" w:fill="FFFFFF"/>
        </w:rPr>
        <w:t>，组织社基层领导及骨干社员前往社省委、省内市县组织机关参观学习，参加社中央举办的机关建设培训班学习先进经验。</w:t>
      </w:r>
      <w:r>
        <w:rPr>
          <w:rFonts w:hint="eastAsia" w:ascii="仿宋" w:hAnsi="仿宋" w:eastAsia="仿宋" w:cs="仿宋_GB2312"/>
          <w:bCs/>
          <w:szCs w:val="32"/>
        </w:rPr>
        <w:t>加强机关干部队伍建设。</w:t>
      </w:r>
      <w:r>
        <w:rPr>
          <w:rFonts w:hint="eastAsia" w:ascii="仿宋" w:hAnsi="仿宋" w:eastAsia="仿宋" w:cs="仿宋_GB2312"/>
          <w:szCs w:val="32"/>
        </w:rPr>
        <w:t>2021年，机关调入干部1名（杜富殿），调出干部1名（林银燕）。</w:t>
      </w:r>
      <w:r>
        <w:rPr>
          <w:rFonts w:hint="eastAsia" w:ascii="仿宋" w:hAnsi="仿宋" w:eastAsia="仿宋" w:cs="仿宋_GB2312"/>
          <w:bCs/>
          <w:szCs w:val="32"/>
        </w:rPr>
        <w:t>开展机关规范化建设，</w:t>
      </w:r>
      <w:r>
        <w:rPr>
          <w:rFonts w:hint="eastAsia" w:ascii="仿宋" w:hAnsi="仿宋" w:eastAsia="仿宋" w:cs="仿宋_GB2312"/>
          <w:color w:val="000000"/>
          <w:szCs w:val="32"/>
          <w:shd w:val="clear" w:color="auto" w:fill="FFFFFF"/>
        </w:rPr>
        <w:t>实现公文办理电子化全流程，截止12月31日，办文336件，实现了文件办理不重不漏，件件有落实，事事有回音。</w:t>
      </w:r>
      <w:r>
        <w:rPr>
          <w:rFonts w:hint="eastAsia" w:ascii="仿宋" w:hAnsi="仿宋" w:eastAsia="仿宋" w:cs="仿宋_GB2312"/>
          <w:bCs/>
          <w:szCs w:val="32"/>
        </w:rPr>
        <w:t>开展档案整理工作，参加相关会议，学习业务知识。</w:t>
      </w:r>
      <w:r>
        <w:rPr>
          <w:rFonts w:hint="eastAsia" w:ascii="仿宋" w:hAnsi="仿宋" w:eastAsia="仿宋" w:cs="仿宋_GB2312"/>
          <w:szCs w:val="32"/>
        </w:rPr>
        <w:t>在社省委的支持下完成2021</w:t>
      </w:r>
      <w:r>
        <w:rPr>
          <w:rFonts w:hint="eastAsia" w:ascii="仿宋" w:hAnsi="仿宋" w:eastAsia="仿宋" w:cs="仿宋_GB2312"/>
          <w:color w:val="000000"/>
          <w:szCs w:val="32"/>
        </w:rPr>
        <w:t>年10月社中央开展的省际机关规范化建设交叉检查，并安排机关人员赴外省参加省际机关规范化建设交叉检查。</w:t>
      </w:r>
    </w:p>
    <w:p>
      <w:pPr>
        <w:numPr>
          <w:ilvl w:val="0"/>
          <w:numId w:val="3"/>
        </w:numPr>
        <w:spacing w:line="552" w:lineRule="exact"/>
        <w:ind w:firstLine="640" w:firstLineChars="200"/>
        <w:rPr>
          <w:rFonts w:ascii="黑体" w:hAnsi="仿宋" w:eastAsia="黑体"/>
          <w:szCs w:val="32"/>
        </w:rPr>
      </w:pPr>
      <w:r>
        <w:rPr>
          <w:rFonts w:hint="eastAsia" w:ascii="黑体" w:hAnsi="仿宋" w:eastAsia="黑体"/>
          <w:szCs w:val="32"/>
        </w:rPr>
        <w:t>主要经验及做法、存在的问题及原因分析</w:t>
      </w:r>
    </w:p>
    <w:p>
      <w:pPr>
        <w:pStyle w:val="7"/>
        <w:spacing w:before="0" w:beforeAutospacing="0" w:after="0" w:afterAutospacing="0" w:line="560" w:lineRule="exact"/>
        <w:ind w:firstLine="645"/>
        <w:rPr>
          <w:rFonts w:ascii="仿宋" w:hAnsi="仿宋" w:eastAsia="仿宋"/>
          <w:szCs w:val="32"/>
        </w:rPr>
      </w:pPr>
      <w:r>
        <w:rPr>
          <w:rFonts w:hint="eastAsia" w:ascii="仿宋" w:hAnsi="仿宋" w:eastAsia="仿宋"/>
          <w:szCs w:val="32"/>
        </w:rPr>
        <w:t>1.主要经验及做法：领导重视，细化资金预算，让各项活动可以稳步推进。</w:t>
      </w:r>
    </w:p>
    <w:p>
      <w:pPr>
        <w:ind w:firstLine="640"/>
        <w:rPr>
          <w:rFonts w:ascii="Times New Roman" w:hAnsi="Times New Roman"/>
          <w:szCs w:val="32"/>
        </w:rPr>
      </w:pPr>
      <w:r>
        <w:rPr>
          <w:rFonts w:hint="eastAsia" w:ascii="仿宋" w:hAnsi="仿宋" w:eastAsia="仿宋"/>
          <w:szCs w:val="32"/>
        </w:rPr>
        <w:t>2.</w:t>
      </w:r>
      <w:r>
        <w:rPr>
          <w:rFonts w:hint="eastAsia" w:ascii="Times New Roman" w:hAnsi="Times New Roman"/>
          <w:szCs w:val="32"/>
        </w:rPr>
        <w:t>2021年本单位项目支出绩效目标全部达成，不存在未完成原因分析。</w:t>
      </w:r>
    </w:p>
    <w:p>
      <w:pPr>
        <w:pStyle w:val="7"/>
        <w:spacing w:before="0" w:beforeAutospacing="0" w:after="0" w:afterAutospacing="0" w:line="560" w:lineRule="exact"/>
        <w:ind w:firstLine="645"/>
        <w:rPr>
          <w:rFonts w:ascii="黑体" w:hAnsi="仿宋" w:eastAsia="黑体"/>
          <w:szCs w:val="32"/>
        </w:rPr>
      </w:pPr>
      <w:r>
        <w:rPr>
          <w:rFonts w:hint="eastAsia" w:ascii="黑体" w:hAnsi="仿宋" w:eastAsia="黑体"/>
          <w:szCs w:val="32"/>
        </w:rPr>
        <w:t>六、有关建议</w:t>
      </w:r>
    </w:p>
    <w:p>
      <w:pPr>
        <w:ind w:firstLine="640"/>
        <w:rPr>
          <w:rFonts w:ascii="黑体" w:hAnsi="仿宋" w:eastAsia="黑体"/>
          <w:szCs w:val="32"/>
        </w:rPr>
      </w:pPr>
      <w:r>
        <w:rPr>
          <w:rFonts w:hint="eastAsia" w:ascii="Times New Roman" w:hAnsi="Times New Roman"/>
          <w:szCs w:val="32"/>
        </w:rPr>
        <w:t>本次自评的目的是了解2021年度财政资金预算支出的绩效状况，为今后预算安排提供决策支持。进一步增强本部门支出管理的责任，优化支出结构，提升预算管理水平，保障更好地履行职责，提高服务质量和财政资金使用效益，提升社员对本单位工作的满意度。进一步的加强财政支出管理，优化财政支出结构，提高资金使用效益，根据绩效评价结果，完善管理制度。改进管理措施，提高管理水平，降低支出成本，增强支出责任。</w:t>
      </w:r>
    </w:p>
    <w:p>
      <w:pPr>
        <w:spacing w:line="552" w:lineRule="exact"/>
        <w:ind w:firstLine="640" w:firstLineChars="200"/>
        <w:rPr>
          <w:rFonts w:ascii="黑体" w:hAnsi="仿宋" w:eastAsia="黑体" w:cs="仿宋"/>
          <w:szCs w:val="32"/>
        </w:rPr>
      </w:pPr>
      <w:r>
        <w:rPr>
          <w:rFonts w:hint="eastAsia" w:ascii="黑体" w:hAnsi="仿宋" w:eastAsia="黑体"/>
          <w:szCs w:val="32"/>
        </w:rPr>
        <w:t>七、其他需要说明的问题</w:t>
      </w:r>
    </w:p>
    <w:p>
      <w:pPr>
        <w:ind w:firstLine="640" w:firstLineChars="200"/>
      </w:pPr>
      <w:r>
        <w:rPr>
          <w:rFonts w:hint="eastAsia"/>
        </w:rPr>
        <w:t>无。</w:t>
      </w: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eastAsia="宋体"/>
        <w:sz w:val="28"/>
        <w:szCs w:val="28"/>
      </w:rPr>
    </w:pPr>
    <w:r>
      <w:rPr>
        <w:rStyle w:val="11"/>
        <w:rFonts w:hint="eastAsia" w:ascii="宋体" w:hAnsi="宋体" w:eastAsia="宋体"/>
        <w:sz w:val="28"/>
        <w:szCs w:val="28"/>
      </w:rPr>
      <w:t>—</w:t>
    </w: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1</w:t>
    </w:r>
    <w:r>
      <w:rPr>
        <w:rFonts w:ascii="宋体" w:hAnsi="宋体" w:eastAsia="宋体"/>
        <w:sz w:val="28"/>
        <w:szCs w:val="28"/>
      </w:rPr>
      <w:fldChar w:fldCharType="end"/>
    </w:r>
    <w:r>
      <w:rPr>
        <w:rStyle w:val="11"/>
        <w:rFonts w:hint="eastAsia" w:ascii="宋体" w:hAnsi="宋体" w:eastAsia="宋体"/>
        <w:sz w:val="28"/>
        <w:szCs w:val="28"/>
      </w:rPr>
      <w:t>—</w:t>
    </w:r>
  </w:p>
  <w:p>
    <w:pPr>
      <w:pStyle w:val="5"/>
      <w:ind w:right="360" w:firstLine="360"/>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eastAsia="宋体"/>
        <w:sz w:val="28"/>
        <w:szCs w:val="28"/>
      </w:rPr>
    </w:pPr>
    <w:r>
      <w:rPr>
        <w:rStyle w:val="11"/>
        <w:rFonts w:hint="eastAsia" w:ascii="宋体" w:hAnsi="宋体" w:eastAsia="宋体"/>
        <w:sz w:val="28"/>
        <w:szCs w:val="28"/>
      </w:rPr>
      <w:t>—</w:t>
    </w: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3</w:t>
    </w:r>
    <w:r>
      <w:rPr>
        <w:rFonts w:ascii="宋体" w:hAnsi="宋体" w:eastAsia="宋体"/>
        <w:sz w:val="28"/>
        <w:szCs w:val="28"/>
      </w:rPr>
      <w:fldChar w:fldCharType="end"/>
    </w:r>
    <w:r>
      <w:rPr>
        <w:rStyle w:val="11"/>
        <w:rFonts w:hint="eastAsia" w:ascii="宋体" w:hAnsi="宋体" w:eastAsia="宋体"/>
        <w:sz w:val="28"/>
        <w:szCs w:val="28"/>
      </w:rPr>
      <w:t>—</w:t>
    </w:r>
  </w:p>
  <w:p>
    <w:pPr>
      <w:pStyle w:val="5"/>
      <w:ind w:right="360" w:firstLine="360"/>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5D6B3"/>
    <w:multiLevelType w:val="singleLevel"/>
    <w:tmpl w:val="95C5D6B3"/>
    <w:lvl w:ilvl="0" w:tentative="0">
      <w:start w:val="3"/>
      <w:numFmt w:val="chineseCounting"/>
      <w:suff w:val="nothing"/>
      <w:lvlText w:val="%1、"/>
      <w:lvlJc w:val="left"/>
      <w:rPr>
        <w:rFonts w:hint="eastAsia"/>
      </w:rPr>
    </w:lvl>
  </w:abstractNum>
  <w:abstractNum w:abstractNumId="1">
    <w:nsid w:val="997E55DE"/>
    <w:multiLevelType w:val="singleLevel"/>
    <w:tmpl w:val="997E55DE"/>
    <w:lvl w:ilvl="0" w:tentative="0">
      <w:start w:val="5"/>
      <w:numFmt w:val="chineseCounting"/>
      <w:suff w:val="nothing"/>
      <w:lvlText w:val="%1、"/>
      <w:lvlJc w:val="left"/>
      <w:rPr>
        <w:rFonts w:hint="eastAsia"/>
      </w:rPr>
    </w:lvl>
  </w:abstractNum>
  <w:abstractNum w:abstractNumId="2">
    <w:nsid w:val="FE6D42BC"/>
    <w:multiLevelType w:val="singleLevel"/>
    <w:tmpl w:val="FE6D42BC"/>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ZGI5MTU5NzQ3MmZlZmM4NDZiOWMzOGI5NjAwZDUifQ=="/>
  </w:docVars>
  <w:rsids>
    <w:rsidRoot w:val="012E7020"/>
    <w:rsid w:val="001220B1"/>
    <w:rsid w:val="001C24AA"/>
    <w:rsid w:val="00286580"/>
    <w:rsid w:val="002E60AA"/>
    <w:rsid w:val="0035248F"/>
    <w:rsid w:val="00363886"/>
    <w:rsid w:val="003D6FA6"/>
    <w:rsid w:val="0043087B"/>
    <w:rsid w:val="004D753C"/>
    <w:rsid w:val="005116ED"/>
    <w:rsid w:val="005209E2"/>
    <w:rsid w:val="00563DA8"/>
    <w:rsid w:val="006B2255"/>
    <w:rsid w:val="006D6C1E"/>
    <w:rsid w:val="007F344E"/>
    <w:rsid w:val="0098645C"/>
    <w:rsid w:val="00B16173"/>
    <w:rsid w:val="00BA62BF"/>
    <w:rsid w:val="00DA55EE"/>
    <w:rsid w:val="00F126D5"/>
    <w:rsid w:val="00F37898"/>
    <w:rsid w:val="012E7020"/>
    <w:rsid w:val="07BF2F31"/>
    <w:rsid w:val="09017106"/>
    <w:rsid w:val="0AEF3C13"/>
    <w:rsid w:val="0D447E4C"/>
    <w:rsid w:val="16074924"/>
    <w:rsid w:val="23B05EE2"/>
    <w:rsid w:val="26473539"/>
    <w:rsid w:val="29903670"/>
    <w:rsid w:val="30D616E4"/>
    <w:rsid w:val="399A539D"/>
    <w:rsid w:val="3E0D0EAE"/>
    <w:rsid w:val="451B2B96"/>
    <w:rsid w:val="4EA647BD"/>
    <w:rsid w:val="52EA397E"/>
    <w:rsid w:val="548766BB"/>
    <w:rsid w:val="5BDD49CC"/>
    <w:rsid w:val="5D085510"/>
    <w:rsid w:val="63AB0CBB"/>
    <w:rsid w:val="6ED71519"/>
    <w:rsid w:val="74ED2A64"/>
    <w:rsid w:val="7ABB5786"/>
    <w:rsid w:val="7ACA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新宋体" w:eastAsia="仿宋_GB2312" w:cs="Times New Roman"/>
      <w:kern w:val="2"/>
      <w:sz w:val="32"/>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Cs w:val="20"/>
    </w:rPr>
  </w:style>
  <w:style w:type="paragraph" w:styleId="4">
    <w:name w:val="heading 3"/>
    <w:basedOn w:val="1"/>
    <w:next w:val="1"/>
    <w:qFormat/>
    <w:uiPriority w:val="99"/>
    <w:pPr>
      <w:keepNext/>
      <w:keepLines/>
      <w:ind w:firstLine="883"/>
      <w:outlineLvl w:val="2"/>
    </w:pPr>
    <w:rPr>
      <w:rFonts w:hAnsi="仿宋_GB2312"/>
      <w:b/>
      <w:bCs/>
      <w:kern w:val="0"/>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仿宋" w:hAnsi="仿宋" w:cs="宋体"/>
      <w:color w:val="000000"/>
      <w:kern w:val="0"/>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p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正文1 Char Char Char"/>
    <w:basedOn w:val="1"/>
    <w:qFormat/>
    <w:uiPriority w:val="0"/>
    <w:pPr>
      <w:spacing w:line="360" w:lineRule="auto"/>
      <w:ind w:firstLine="200" w:firstLineChars="200"/>
    </w:pPr>
  </w:style>
  <w:style w:type="character" w:customStyle="1" w:styleId="13">
    <w:name w:val="页眉 Char"/>
    <w:basedOn w:val="9"/>
    <w:link w:val="6"/>
    <w:qFormat/>
    <w:uiPriority w:val="0"/>
    <w:rPr>
      <w:rFonts w:ascii="仿宋_GB2312" w:hAnsi="新宋体"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8378</Words>
  <Characters>8767</Characters>
  <Lines>8</Lines>
  <Paragraphs>18</Paragraphs>
  <TotalTime>1</TotalTime>
  <ScaleCrop>false</ScaleCrop>
  <LinksUpToDate>false</LinksUpToDate>
  <CharactersWithSpaces>8799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2022-10-20T03:13:00Z</dcterms:created>
  <dc:creator>Ginnie宝贝</dc:creator>
  <cp:lastModifiedBy>邝红梅</cp:lastModifiedBy>
  <cp:lastPrinted>2022-10-10T07:24:00Z</cp:lastPrinted>
  <dcterms:modified xsi:type="dcterms:W3CDTF">2022-10-21T06:51:21Z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1EAE1EC48901490A93AB982EE31B7D97</vt:lpwstr>
  </property>
</Properties>
</file>