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r>
        <w:rPr>
          <w:rFonts w:hint="eastAsia" w:ascii="宋体" w:hAnsi="宋体" w:eastAsia="宋体" w:cs="宋体"/>
          <w:b/>
          <w:bCs/>
          <w:color w:val="000000"/>
          <w:sz w:val="44"/>
          <w:szCs w:val="44"/>
        </w:rPr>
        <w:t>项目支出绩效评价指标体系框架</w:t>
      </w:r>
    </w:p>
    <w:p>
      <w:pPr>
        <w:pStyle w:val="2"/>
        <w:spacing w:before="0" w:after="0" w:line="530" w:lineRule="exact"/>
        <w:jc w:val="center"/>
        <w:rPr>
          <w:rFonts w:hint="eastAsia"/>
          <w:bCs/>
          <w:color w:val="000000"/>
        </w:rPr>
      </w:pPr>
    </w:p>
    <w:tbl>
      <w:tblPr>
        <w:tblStyle w:val="3"/>
        <w:tblW w:w="444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672"/>
        <w:gridCol w:w="929"/>
        <w:gridCol w:w="861"/>
        <w:gridCol w:w="1773"/>
        <w:gridCol w:w="6991"/>
        <w:gridCol w:w="13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tblHeader/>
          <w:jc w:val="center"/>
        </w:trPr>
        <w:tc>
          <w:tcPr>
            <w:tcW w:w="267" w:type="pct"/>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369" w:type="pct"/>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二级指标</w:t>
            </w:r>
          </w:p>
        </w:tc>
        <w:tc>
          <w:tcPr>
            <w:tcW w:w="342" w:type="pct"/>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三级指标</w:t>
            </w:r>
          </w:p>
        </w:tc>
        <w:tc>
          <w:tcPr>
            <w:tcW w:w="704" w:type="pct"/>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w:t>
            </w:r>
          </w:p>
        </w:tc>
        <w:tc>
          <w:tcPr>
            <w:tcW w:w="2776" w:type="pct"/>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指标说明</w:t>
            </w:r>
          </w:p>
        </w:tc>
        <w:tc>
          <w:tcPr>
            <w:tcW w:w="540" w:type="pct"/>
            <w:shd w:val="clear" w:color="auto" w:fill="FFFFFF"/>
            <w:noWrap w:val="0"/>
            <w:vAlign w:val="center"/>
          </w:tcPr>
          <w:p>
            <w:pPr>
              <w:widowControl/>
              <w:spacing w:line="24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lang w:eastAsia="zh-CN"/>
              </w:rPr>
              <w:t>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267" w:type="pct"/>
            <w:vMerge w:val="restart"/>
            <w:shd w:val="clear" w:color="auto" w:fill="FFFFFF"/>
            <w:noWrap w:val="0"/>
            <w:vAlign w:val="center"/>
          </w:tcPr>
          <w:p>
            <w:pPr>
              <w:spacing w:line="240" w:lineRule="exact"/>
              <w:jc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过程</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w:t>
            </w:r>
          </w:p>
        </w:tc>
        <w:tc>
          <w:tcPr>
            <w:tcW w:w="369" w:type="pct"/>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组织实施</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2"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管理制度</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健全性</w:t>
            </w:r>
          </w:p>
        </w:tc>
        <w:tc>
          <w:tcPr>
            <w:tcW w:w="704" w:type="pct"/>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项目实施单位的财务和业务管理制度是否健全，用以反映和考核财务和业务管理制度对项目顺利实施的保障情况。</w:t>
            </w:r>
          </w:p>
        </w:tc>
        <w:tc>
          <w:tcPr>
            <w:tcW w:w="2776" w:type="pct"/>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①是否已制定或具有相应的财务和业务管理制度；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②财务和业务管理制度是否合法、合规、完整。</w:t>
            </w:r>
          </w:p>
        </w:tc>
        <w:tc>
          <w:tcPr>
            <w:tcW w:w="540" w:type="pct"/>
            <w:shd w:val="clear" w:color="000000" w:fill="FFFFFF"/>
            <w:noWrap w:val="0"/>
            <w:vAlign w:val="center"/>
          </w:tcPr>
          <w:p>
            <w:pPr>
              <w:widowControl/>
              <w:spacing w:line="240" w:lineRule="exa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267" w:type="pct"/>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369" w:type="pct"/>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342"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制度执行</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有效性</w:t>
            </w:r>
          </w:p>
        </w:tc>
        <w:tc>
          <w:tcPr>
            <w:tcW w:w="704" w:type="pct"/>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项目实施是否符合相关管理规定，用以反映和考核相关管理制度的有效执行情况。</w:t>
            </w:r>
          </w:p>
        </w:tc>
        <w:tc>
          <w:tcPr>
            <w:tcW w:w="2776" w:type="pct"/>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①是否遵守相关法律法规和相关管理规定；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②项目调整及支出调整手续是否完备；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③项目合同书、验收报告、技术鉴定等资料是否齐全并及时归档；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④项目实施的人员条件、场地设备、信息支撑等是否落实到位。</w:t>
            </w:r>
          </w:p>
        </w:tc>
        <w:tc>
          <w:tcPr>
            <w:tcW w:w="540" w:type="pct"/>
            <w:shd w:val="clear" w:color="000000" w:fill="FFFFFF"/>
            <w:noWrap w:val="0"/>
            <w:vAlign w:val="center"/>
          </w:tcPr>
          <w:p>
            <w:pPr>
              <w:widowControl/>
              <w:spacing w:line="240" w:lineRule="exac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267" w:type="pct"/>
            <w:vMerge w:val="continue"/>
            <w:shd w:val="clear" w:color="auto" w:fill="FFFFFF"/>
            <w:noWrap w:val="0"/>
            <w:vAlign w:val="center"/>
          </w:tcPr>
          <w:p>
            <w:pPr>
              <w:spacing w:line="240" w:lineRule="exact"/>
              <w:jc w:val="center"/>
              <w:rPr>
                <w:rFonts w:ascii="宋体" w:hAnsi="宋体" w:eastAsia="宋体" w:cs="宋体"/>
                <w:color w:val="000000"/>
                <w:kern w:val="0"/>
                <w:sz w:val="20"/>
                <w:szCs w:val="20"/>
                <w:lang w:val="en-US" w:eastAsia="zh-CN" w:bidi="ar-SA"/>
              </w:rPr>
            </w:pPr>
          </w:p>
        </w:tc>
        <w:tc>
          <w:tcPr>
            <w:tcW w:w="369" w:type="pct"/>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资金管理</w:t>
            </w:r>
          </w:p>
          <w:p>
            <w:pPr>
              <w:widowControl/>
              <w:spacing w:line="240" w:lineRule="exact"/>
              <w:jc w:val="center"/>
              <w:rPr>
                <w:rFonts w:ascii="宋体" w:hAnsi="宋体" w:eastAsia="宋体" w:cs="宋体"/>
                <w:color w:val="000000"/>
                <w:kern w:val="0"/>
                <w:sz w:val="20"/>
                <w:szCs w:val="20"/>
                <w:lang w:val="en-US" w:eastAsia="zh-CN" w:bidi="ar-SA"/>
              </w:rPr>
            </w:pPr>
          </w:p>
        </w:tc>
        <w:tc>
          <w:tcPr>
            <w:tcW w:w="342" w:type="pc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资金到位率</w:t>
            </w:r>
          </w:p>
        </w:tc>
        <w:tc>
          <w:tcPr>
            <w:tcW w:w="704" w:type="pct"/>
            <w:shd w:val="clear" w:color="000000" w:fill="FFFFFF"/>
            <w:noWrap w:val="0"/>
            <w:vAlign w:val="center"/>
          </w:tcPr>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实际到位资金与预算资金的比率，用以反映和考核资金落实情况对项目实施的总体保障程度。</w:t>
            </w:r>
          </w:p>
        </w:tc>
        <w:tc>
          <w:tcPr>
            <w:tcW w:w="2776" w:type="pct"/>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资金到位率=（实际到位资金/预算资金）×100%。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实际到位资金：一定时期（本年度或项目期）内落实到具体项目的资金。</w:t>
            </w:r>
          </w:p>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预算资金：一定时期（本年度或项目期）内预算安排到具体项目的资金。</w:t>
            </w:r>
          </w:p>
        </w:tc>
        <w:tc>
          <w:tcPr>
            <w:tcW w:w="540" w:type="pct"/>
            <w:shd w:val="clear" w:color="000000" w:fill="FFFFFF"/>
            <w:noWrap w:val="0"/>
            <w:vAlign w:val="center"/>
          </w:tcPr>
          <w:p>
            <w:pPr>
              <w:widowControl/>
              <w:spacing w:line="240" w:lineRule="exac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267" w:type="pct"/>
            <w:vMerge w:val="continue"/>
          </w:tcPr>
          <w:p>
            <w:pPr>
              <w:widowControl/>
              <w:spacing w:line="240" w:lineRule="exact"/>
              <w:jc w:val="center"/>
              <w:rPr>
                <w:rFonts w:ascii="宋体" w:hAnsi="宋体" w:eastAsia="宋体" w:cs="宋体"/>
                <w:color w:val="000000"/>
                <w:kern w:val="0"/>
                <w:sz w:val="20"/>
                <w:szCs w:val="20"/>
              </w:rPr>
            </w:pPr>
          </w:p>
        </w:tc>
        <w:tc>
          <w:tcPr>
            <w:tcW w:w="369" w:type="pct"/>
            <w:vMerge w:val="continue"/>
            <w:vAlign w:val="center"/>
          </w:tcPr>
          <w:p>
            <w:pPr>
              <w:widowControl/>
              <w:spacing w:line="240" w:lineRule="exact"/>
              <w:jc w:val="center"/>
              <w:rPr>
                <w:rFonts w:ascii="宋体" w:hAnsi="宋体" w:eastAsia="宋体" w:cs="宋体"/>
                <w:color w:val="000000"/>
                <w:kern w:val="0"/>
                <w:sz w:val="20"/>
                <w:szCs w:val="20"/>
                <w:lang w:val="en-US" w:eastAsia="zh-CN" w:bidi="ar-SA"/>
              </w:rPr>
            </w:pPr>
          </w:p>
        </w:tc>
        <w:tc>
          <w:tcPr>
            <w:tcW w:w="342" w:type="pct"/>
            <w:vAlign w:val="center"/>
          </w:tcPr>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预算执行率</w:t>
            </w:r>
          </w:p>
        </w:tc>
        <w:tc>
          <w:tcPr>
            <w:tcW w:w="704" w:type="pct"/>
            <w:vAlign w:val="center"/>
          </w:tcPr>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项目预算资金是否按照计划执行，用以反映或考核项目预算执行情况。</w:t>
            </w:r>
          </w:p>
        </w:tc>
        <w:tc>
          <w:tcPr>
            <w:tcW w:w="2776" w:type="pct"/>
            <w:vAlign w:val="center"/>
          </w:tcPr>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预算执行率=（实际支出资金/实际到位资金）×100%。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实际支出资金：一定时期（本年度或项目期）内项目实际拨付的资金。</w:t>
            </w:r>
          </w:p>
        </w:tc>
        <w:tc>
          <w:tcPr>
            <w:tcW w:w="540" w:type="pct"/>
            <w:vAlign w:val="center"/>
          </w:tcPr>
          <w:p>
            <w:pPr>
              <w:widowControl/>
              <w:spacing w:line="240" w:lineRule="exac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35" w:hRule="atLeast"/>
          <w:jc w:val="center"/>
        </w:trPr>
        <w:tc>
          <w:tcPr>
            <w:tcW w:w="267" w:type="pct"/>
            <w:vMerge w:val="continue"/>
            <w:vAlign w:val="center"/>
          </w:tcPr>
          <w:p>
            <w:pPr>
              <w:spacing w:line="240" w:lineRule="exact"/>
              <w:jc w:val="center"/>
              <w:rPr>
                <w:rFonts w:ascii="宋体" w:hAnsi="宋体" w:eastAsia="宋体" w:cs="宋体"/>
                <w:color w:val="000000"/>
                <w:kern w:val="0"/>
                <w:sz w:val="20"/>
                <w:szCs w:val="20"/>
                <w:lang w:val="en-US" w:eastAsia="zh-CN" w:bidi="ar-SA"/>
              </w:rPr>
            </w:pPr>
          </w:p>
        </w:tc>
        <w:tc>
          <w:tcPr>
            <w:tcW w:w="369" w:type="pct"/>
            <w:vMerge w:val="continue"/>
            <w:vAlign w:val="center"/>
          </w:tcPr>
          <w:p>
            <w:pPr>
              <w:widowControl/>
              <w:spacing w:line="240" w:lineRule="exact"/>
              <w:jc w:val="center"/>
              <w:rPr>
                <w:rFonts w:ascii="宋体" w:hAnsi="宋体" w:eastAsia="宋体" w:cs="宋体"/>
                <w:color w:val="000000"/>
                <w:kern w:val="0"/>
                <w:sz w:val="20"/>
                <w:szCs w:val="20"/>
                <w:lang w:val="en-US" w:eastAsia="zh-CN" w:bidi="ar-SA"/>
              </w:rPr>
            </w:pPr>
          </w:p>
        </w:tc>
        <w:tc>
          <w:tcPr>
            <w:tcW w:w="342" w:type="pct"/>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资金使用</w:t>
            </w:r>
          </w:p>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合规性</w:t>
            </w:r>
          </w:p>
        </w:tc>
        <w:tc>
          <w:tcPr>
            <w:tcW w:w="704" w:type="pct"/>
            <w:vAlign w:val="center"/>
          </w:tcPr>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项目资金使用是否符合相关的财务管理制度规定，用以反映和考核项目资金的规范运行情况。</w:t>
            </w:r>
          </w:p>
        </w:tc>
        <w:tc>
          <w:tcPr>
            <w:tcW w:w="2776" w:type="pct"/>
            <w:vAlign w:val="center"/>
          </w:tcPr>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①是否符合国家财经法规和财务管理制度以及有关专项资金管理办法的规定；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②资金的拨付是否有完整的审批程序和手续；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③是否符合项目预算批复或合同规定的用途；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④是否存在截留、挤占、挪用、虚列支出等情况。</w:t>
            </w:r>
          </w:p>
        </w:tc>
        <w:tc>
          <w:tcPr>
            <w:tcW w:w="540" w:type="pct"/>
            <w:vAlign w:val="center"/>
          </w:tcPr>
          <w:p>
            <w:pPr>
              <w:widowControl/>
              <w:spacing w:line="240" w:lineRule="exa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267" w:type="pct"/>
            <w:vMerge w:val="restar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rPr>
            </w:pPr>
          </w:p>
          <w:p>
            <w:pPr>
              <w:widowControl/>
              <w:spacing w:line="240" w:lineRule="exact"/>
              <w:jc w:val="center"/>
              <w:rPr>
                <w:rFonts w:hint="eastAsia" w:ascii="宋体" w:hAnsi="宋体" w:eastAsia="宋体" w:cs="宋体"/>
                <w:color w:val="000000"/>
                <w:kern w:val="0"/>
                <w:sz w:val="20"/>
                <w:szCs w:val="20"/>
              </w:rPr>
            </w:pPr>
          </w:p>
          <w:p>
            <w:pPr>
              <w:widowControl/>
              <w:spacing w:line="240" w:lineRule="exact"/>
              <w:jc w:val="center"/>
              <w:rPr>
                <w:rFonts w:hint="eastAsia" w:ascii="宋体" w:hAnsi="宋体" w:eastAsia="宋体" w:cs="宋体"/>
                <w:color w:val="000000"/>
                <w:kern w:val="0"/>
                <w:sz w:val="20"/>
                <w:szCs w:val="20"/>
              </w:rPr>
            </w:pPr>
          </w:p>
          <w:p>
            <w:pPr>
              <w:widowControl/>
              <w:spacing w:line="240" w:lineRule="exact"/>
              <w:jc w:val="center"/>
              <w:rPr>
                <w:rFonts w:hint="eastAsia" w:ascii="宋体" w:hAnsi="宋体" w:eastAsia="宋体" w:cs="宋体"/>
                <w:color w:val="000000"/>
                <w:kern w:val="0"/>
                <w:sz w:val="20"/>
                <w:szCs w:val="20"/>
                <w:lang w:eastAsia="zh-CN"/>
              </w:rPr>
            </w:pPr>
          </w:p>
          <w:p>
            <w:pPr>
              <w:widowControl/>
              <w:spacing w:line="240" w:lineRule="exact"/>
              <w:jc w:val="center"/>
              <w:rPr>
                <w:rFonts w:hint="eastAsia" w:ascii="宋体" w:hAnsi="宋体" w:eastAsia="宋体" w:cs="宋体"/>
                <w:color w:val="000000"/>
                <w:kern w:val="0"/>
                <w:sz w:val="20"/>
                <w:szCs w:val="20"/>
                <w:lang w:eastAsia="zh-CN"/>
              </w:rPr>
            </w:pPr>
          </w:p>
          <w:p>
            <w:pPr>
              <w:widowControl/>
              <w:spacing w:line="240" w:lineRule="exact"/>
              <w:jc w:val="center"/>
              <w:rPr>
                <w:rFonts w:hint="eastAsia" w:ascii="宋体" w:hAnsi="宋体" w:eastAsia="宋体" w:cs="宋体"/>
                <w:color w:val="000000"/>
                <w:kern w:val="0"/>
                <w:sz w:val="20"/>
                <w:szCs w:val="20"/>
                <w:lang w:eastAsia="zh-CN"/>
              </w:rPr>
            </w:pPr>
          </w:p>
          <w:p>
            <w:pPr>
              <w:widowControl/>
              <w:spacing w:line="240" w:lineRule="exact"/>
              <w:jc w:val="center"/>
              <w:rPr>
                <w:rFonts w:hint="eastAsia" w:ascii="宋体" w:hAnsi="宋体" w:eastAsia="宋体" w:cs="宋体"/>
                <w:color w:val="000000"/>
                <w:kern w:val="0"/>
                <w:sz w:val="20"/>
                <w:szCs w:val="20"/>
                <w:lang w:eastAsia="zh-CN"/>
              </w:rPr>
            </w:pPr>
          </w:p>
          <w:p>
            <w:pPr>
              <w:widowControl/>
              <w:spacing w:line="240" w:lineRule="exact"/>
              <w:jc w:val="center"/>
              <w:rPr>
                <w:rFonts w:hint="eastAsia" w:ascii="宋体" w:hAnsi="宋体" w:eastAsia="宋体" w:cs="宋体"/>
                <w:color w:val="000000"/>
                <w:kern w:val="0"/>
                <w:sz w:val="20"/>
                <w:szCs w:val="20"/>
                <w:lang w:eastAsia="zh-CN"/>
              </w:rPr>
            </w:pPr>
          </w:p>
          <w:p>
            <w:pPr>
              <w:widowControl/>
              <w:spacing w:line="240" w:lineRule="exact"/>
              <w:jc w:val="center"/>
              <w:rPr>
                <w:rFonts w:hint="eastAsia" w:ascii="宋体" w:hAnsi="宋体" w:eastAsia="宋体" w:cs="宋体"/>
                <w:color w:val="000000"/>
                <w:kern w:val="0"/>
                <w:sz w:val="20"/>
                <w:szCs w:val="20"/>
                <w:lang w:eastAsia="zh-CN"/>
              </w:rPr>
            </w:pPr>
          </w:p>
          <w:p>
            <w:pPr>
              <w:widowControl/>
              <w:spacing w:line="240" w:lineRule="exact"/>
              <w:jc w:val="center"/>
              <w:rPr>
                <w:rFonts w:hint="eastAsia" w:ascii="宋体" w:hAnsi="宋体" w:eastAsia="宋体" w:cs="宋体"/>
                <w:color w:val="000000"/>
                <w:kern w:val="0"/>
                <w:sz w:val="20"/>
                <w:szCs w:val="20"/>
                <w:lang w:eastAsia="zh-CN"/>
              </w:rPr>
            </w:pPr>
          </w:p>
          <w:p>
            <w:pPr>
              <w:widowControl/>
              <w:spacing w:line="240" w:lineRule="exact"/>
              <w:jc w:val="center"/>
              <w:rPr>
                <w:rFonts w:hint="eastAsia" w:ascii="宋体" w:hAnsi="宋体" w:eastAsia="宋体" w:cs="宋体"/>
                <w:color w:val="000000"/>
                <w:kern w:val="0"/>
                <w:sz w:val="20"/>
                <w:szCs w:val="20"/>
                <w:lang w:eastAsia="zh-CN"/>
              </w:rPr>
            </w:pPr>
          </w:p>
          <w:p>
            <w:pPr>
              <w:widowControl/>
              <w:spacing w:line="240" w:lineRule="exact"/>
              <w:jc w:val="center"/>
              <w:rPr>
                <w:rFonts w:hint="eastAsia" w:ascii="宋体" w:hAnsi="宋体" w:eastAsia="宋体" w:cs="宋体"/>
                <w:color w:val="000000"/>
                <w:kern w:val="0"/>
                <w:sz w:val="20"/>
                <w:szCs w:val="20"/>
                <w:lang w:eastAsia="zh-CN"/>
              </w:rPr>
            </w:pPr>
          </w:p>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eastAsia="zh-CN"/>
              </w:rPr>
              <w:t>项目</w:t>
            </w:r>
            <w:r>
              <w:rPr>
                <w:rFonts w:hint="eastAsia" w:ascii="宋体" w:hAnsi="宋体" w:eastAsia="宋体" w:cs="宋体"/>
                <w:color w:val="000000"/>
                <w:kern w:val="0"/>
                <w:sz w:val="20"/>
                <w:szCs w:val="20"/>
              </w:rPr>
              <w:t>决策</w:t>
            </w:r>
            <w:r>
              <w:rPr>
                <w:rFonts w:hint="eastAsia" w:ascii="宋体" w:hAnsi="宋体" w:eastAsia="宋体" w:cs="宋体"/>
                <w:color w:val="000000"/>
                <w:kern w:val="0"/>
                <w:sz w:val="20"/>
                <w:szCs w:val="20"/>
                <w:lang w:val="en-US" w:eastAsia="zh-CN"/>
              </w:rPr>
              <w:t xml:space="preserve"> </w:t>
            </w: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hint="eastAsia" w:ascii="宋体" w:hAnsi="宋体" w:eastAsia="宋体" w:cs="宋体"/>
                <w:color w:val="000000"/>
                <w:kern w:val="0"/>
                <w:sz w:val="20"/>
                <w:szCs w:val="20"/>
                <w:lang w:val="en-US" w:eastAsia="zh-CN"/>
              </w:rPr>
            </w:pP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 xml:space="preserve">项目决策                         </w:t>
            </w:r>
            <w:r>
              <w:rPr>
                <w:rFonts w:hint="eastAsia" w:ascii="宋体" w:hAnsi="宋体" w:eastAsia="宋体" w:cs="宋体"/>
                <w:color w:val="000000"/>
                <w:kern w:val="0"/>
                <w:sz w:val="20"/>
                <w:szCs w:val="20"/>
              </w:rPr>
              <w:t>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69"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　</w:t>
            </w:r>
          </w:p>
        </w:tc>
        <w:tc>
          <w:tcPr>
            <w:tcW w:w="342"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w:t>
            </w:r>
          </w:p>
        </w:tc>
        <w:tc>
          <w:tcPr>
            <w:tcW w:w="704" w:type="pct"/>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项目所设定的绩效目标是否依据充分，是否符合客观实际，用以反映和考核项目绩效目标与项目实施的相符情况。</w:t>
            </w:r>
          </w:p>
        </w:tc>
        <w:tc>
          <w:tcPr>
            <w:tcW w:w="2776" w:type="pct"/>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（如未设定预算绩效目标，也可考核其他工作任务目标）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①项目是否有绩效目标；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②项目绩效目标与实际工作内容是否具有相关性；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③项目预期产出效益和效果是否符合正常的业绩水平；</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④是否与预算确定的项目投资额或资金量相匹配。</w:t>
            </w:r>
          </w:p>
        </w:tc>
        <w:tc>
          <w:tcPr>
            <w:tcW w:w="540" w:type="pct"/>
            <w:shd w:val="clear" w:color="auto" w:fill="FFFFFF"/>
            <w:noWrap w:val="0"/>
            <w:vAlign w:val="center"/>
          </w:tcPr>
          <w:p>
            <w:pPr>
              <w:widowControl/>
              <w:spacing w:line="240" w:lineRule="exact"/>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267" w:type="pct"/>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369"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tc>
        <w:tc>
          <w:tcPr>
            <w:tcW w:w="342"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明确性</w:t>
            </w:r>
          </w:p>
        </w:tc>
        <w:tc>
          <w:tcPr>
            <w:tcW w:w="704" w:type="pct"/>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依据绩效目标设定的绩效指标是否清晰、细化、可衡量等，用以反映和考核项目绩效目标的明细化情况。</w:t>
            </w:r>
          </w:p>
        </w:tc>
        <w:tc>
          <w:tcPr>
            <w:tcW w:w="2776" w:type="pct"/>
            <w:shd w:val="clear" w:color="auto" w:fill="FFFFFF"/>
            <w:noWrap w:val="0"/>
            <w:vAlign w:val="center"/>
          </w:tcPr>
          <w:p>
            <w:pPr>
              <w:widowControl/>
              <w:spacing w:line="2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①是否将项目绩效目标细化分解为具体的绩效指标；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②是否通过清晰、可衡量的指标值予以体现；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③是否与项目目标任务数或计划数相对应。</w:t>
            </w:r>
          </w:p>
          <w:p>
            <w:pPr>
              <w:widowControl/>
              <w:spacing w:line="240" w:lineRule="exact"/>
              <w:rPr>
                <w:rFonts w:hint="eastAsia" w:ascii="宋体" w:hAnsi="宋体" w:eastAsia="宋体" w:cs="宋体"/>
                <w:color w:val="000000"/>
                <w:kern w:val="0"/>
                <w:sz w:val="20"/>
                <w:szCs w:val="20"/>
              </w:rPr>
            </w:pPr>
          </w:p>
        </w:tc>
        <w:tc>
          <w:tcPr>
            <w:tcW w:w="540" w:type="pct"/>
            <w:shd w:val="clear" w:color="auto" w:fill="FFFFFF"/>
            <w:noWrap w:val="0"/>
            <w:vAlign w:val="center"/>
          </w:tcPr>
          <w:p>
            <w:pPr>
              <w:widowControl/>
              <w:spacing w:line="240" w:lineRule="exac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267" w:type="pct"/>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369" w:type="pct"/>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　</w:t>
            </w:r>
          </w:p>
        </w:tc>
        <w:tc>
          <w:tcPr>
            <w:tcW w:w="342"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立项依据</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充分性</w:t>
            </w:r>
          </w:p>
        </w:tc>
        <w:tc>
          <w:tcPr>
            <w:tcW w:w="704" w:type="pct"/>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项目立项是否符合法律法规、相关政策、发展规划以及部门职责，用以反映和考核项目立项依据情况。</w:t>
            </w:r>
          </w:p>
        </w:tc>
        <w:tc>
          <w:tcPr>
            <w:tcW w:w="2776" w:type="pct"/>
            <w:shd w:val="clear" w:color="000000"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①项目立项是否符合国家法律法规、国民经济发展规划和相关政策；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②项目立项是否符合行业发展规划和政策要求；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③项目立项是否与部门职责范围相符，属于部门履职所需；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④项目是否属于公共财政支持范围，是否符合中央、地方事权支出责任划分原则；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⑤项目是否与相关部门同类项目或部门内部相关项目重复。</w:t>
            </w:r>
          </w:p>
        </w:tc>
        <w:tc>
          <w:tcPr>
            <w:tcW w:w="540" w:type="pct"/>
            <w:shd w:val="clear" w:color="000000" w:fill="FFFFFF"/>
            <w:noWrap w:val="0"/>
            <w:vAlign w:val="center"/>
          </w:tcPr>
          <w:p>
            <w:pPr>
              <w:widowControl/>
              <w:spacing w:line="240" w:lineRule="exact"/>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267" w:type="pct"/>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369" w:type="pct"/>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342"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立项程序</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规范性</w:t>
            </w:r>
          </w:p>
        </w:tc>
        <w:tc>
          <w:tcPr>
            <w:tcW w:w="704" w:type="pct"/>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项目申请、设立过程是否符合相关要求，用以反映和考核项目立项的规范情况。</w:t>
            </w:r>
          </w:p>
        </w:tc>
        <w:tc>
          <w:tcPr>
            <w:tcW w:w="2776" w:type="pct"/>
            <w:shd w:val="clear" w:color="000000" w:fill="FFFFFF"/>
            <w:noWrap w:val="0"/>
            <w:vAlign w:val="center"/>
          </w:tcPr>
          <w:p>
            <w:pPr>
              <w:widowControl/>
              <w:spacing w:line="240" w:lineRule="exact"/>
              <w:jc w:val="left"/>
              <w:rPr>
                <w:rFonts w:hint="eastAsia" w:ascii="宋体" w:hAnsi="宋体" w:eastAsia="宋体" w:cs="宋体"/>
                <w:color w:val="000000"/>
                <w:kern w:val="0"/>
                <w:sz w:val="20"/>
                <w:szCs w:val="20"/>
              </w:rPr>
            </w:pPr>
            <w:r>
              <w:rPr>
                <w:rFonts w:ascii="宋体" w:hAnsi="宋体" w:eastAsia="宋体" w:cs="宋体"/>
                <w:sz w:val="24"/>
                <w:szCs w:val="24"/>
              </w:rPr>
              <w:t>评</w:t>
            </w:r>
            <w:r>
              <w:rPr>
                <w:rFonts w:hint="eastAsia" w:ascii="宋体" w:hAnsi="宋体" w:eastAsia="宋体" w:cs="宋体"/>
                <w:color w:val="000000"/>
                <w:kern w:val="0"/>
                <w:sz w:val="20"/>
                <w:szCs w:val="20"/>
              </w:rPr>
              <w:t xml:space="preserve">价要点： </w:t>
            </w:r>
          </w:p>
          <w:p>
            <w:pPr>
              <w:widowControl/>
              <w:spacing w:line="240" w:lineRule="exac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①项目是否与省级相关政策相符；</w:t>
            </w:r>
          </w:p>
          <w:p>
            <w:pPr>
              <w:widowControl/>
              <w:spacing w:line="240" w:lineRule="exac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②项目是否按照规定的程序申请设立； </w:t>
            </w:r>
          </w:p>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③项目是否已经过必要的审批程序并符合有关规定</w:t>
            </w:r>
            <w:r>
              <w:rPr>
                <w:rFonts w:hint="eastAsia" w:ascii="宋体" w:hAnsi="宋体" w:eastAsia="宋体" w:cs="宋体"/>
                <w:color w:val="000000"/>
                <w:kern w:val="0"/>
                <w:sz w:val="20"/>
                <w:szCs w:val="20"/>
                <w:lang w:eastAsia="zh-CN"/>
              </w:rPr>
              <w:t>。</w:t>
            </w:r>
          </w:p>
        </w:tc>
        <w:tc>
          <w:tcPr>
            <w:tcW w:w="540" w:type="pct"/>
            <w:shd w:val="clear" w:color="000000" w:fill="FFFFFF"/>
            <w:noWrap w:val="0"/>
            <w:vAlign w:val="center"/>
          </w:tcPr>
          <w:p>
            <w:pPr>
              <w:widowControl/>
              <w:spacing w:line="240" w:lineRule="exact"/>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267" w:type="pct"/>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369" w:type="pct"/>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资金投入</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2"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预算编制</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科学性</w:t>
            </w:r>
          </w:p>
        </w:tc>
        <w:tc>
          <w:tcPr>
            <w:tcW w:w="704" w:type="pct"/>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项目预算编制是否经过科学论证、有明确标准，资金额度与年度目标是否相适应，用以反映和考核项目预算编制的科学性、合理性情况。</w:t>
            </w:r>
          </w:p>
        </w:tc>
        <w:tc>
          <w:tcPr>
            <w:tcW w:w="2776" w:type="pct"/>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①预算编制是否经过科学论证；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②预算内容与项目内容是否匹配；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③预算额度测算依据是否充分，是否按照标准编制；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④预算确定的项目投资额或资金量是否与工作任务相匹配。</w:t>
            </w:r>
          </w:p>
        </w:tc>
        <w:tc>
          <w:tcPr>
            <w:tcW w:w="540" w:type="pct"/>
            <w:shd w:val="clear" w:color="auto" w:fill="FFFFFF"/>
            <w:noWrap w:val="0"/>
            <w:vAlign w:val="center"/>
          </w:tcPr>
          <w:p>
            <w:pPr>
              <w:widowControl/>
              <w:spacing w:line="240" w:lineRule="exa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 w:hRule="atLeast"/>
          <w:jc w:val="center"/>
        </w:trPr>
        <w:tc>
          <w:tcPr>
            <w:tcW w:w="267" w:type="pct"/>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369" w:type="pct"/>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342"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资金分配</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w:t>
            </w:r>
          </w:p>
        </w:tc>
        <w:tc>
          <w:tcPr>
            <w:tcW w:w="704" w:type="pct"/>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项目预算资金分配是否有测算依据，与补助单位或地方实际是否相适应，用以反映和考核项目预算资金分配的科学性、合理性情况。</w:t>
            </w:r>
          </w:p>
        </w:tc>
        <w:tc>
          <w:tcPr>
            <w:tcW w:w="2776" w:type="pct"/>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①预算资金分配依据是否充分；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②资金分配额度是否合理，与项目单位或地方实际是否相适应。</w:t>
            </w:r>
          </w:p>
        </w:tc>
        <w:tc>
          <w:tcPr>
            <w:tcW w:w="540" w:type="pct"/>
            <w:shd w:val="clear" w:color="auto" w:fill="FFFFFF"/>
            <w:noWrap w:val="0"/>
            <w:vAlign w:val="center"/>
          </w:tcPr>
          <w:p>
            <w:pPr>
              <w:widowControl/>
              <w:spacing w:line="240" w:lineRule="exa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81" w:hRule="atLeast"/>
          <w:jc w:val="center"/>
        </w:trPr>
        <w:tc>
          <w:tcPr>
            <w:tcW w:w="267"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效益指标</w:t>
            </w:r>
          </w:p>
        </w:tc>
        <w:tc>
          <w:tcPr>
            <w:tcW w:w="369" w:type="pc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ab/>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可持续影响</w:t>
            </w:r>
          </w:p>
        </w:tc>
        <w:tc>
          <w:tcPr>
            <w:tcW w:w="342" w:type="pc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ab/>
            </w:r>
          </w:p>
          <w:p>
            <w:pPr>
              <w:widowControl/>
              <w:spacing w:line="240" w:lineRule="exact"/>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持续推进金融业稳定发展</w:t>
            </w:r>
          </w:p>
        </w:tc>
        <w:tc>
          <w:tcPr>
            <w:tcW w:w="704" w:type="pct"/>
            <w:shd w:val="clear" w:color="auto" w:fill="FFFFFF"/>
            <w:noWrap w:val="0"/>
            <w:vAlign w:val="center"/>
          </w:tcPr>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ab/>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丰富金融业态，补齐金融机构短板，完善金融市场要素。</w:t>
            </w:r>
          </w:p>
        </w:tc>
        <w:tc>
          <w:tcPr>
            <w:tcW w:w="2776" w:type="pct"/>
            <w:shd w:val="clear" w:color="auto" w:fill="FFFFFF"/>
            <w:noWrap w:val="0"/>
            <w:vAlign w:val="center"/>
          </w:tcPr>
          <w:p>
            <w:pPr>
              <w:widowControl/>
              <w:spacing w:line="2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评价要点：是否落实我市金融业发展扶持政策，担负属地金融管理责任。</w:t>
            </w:r>
          </w:p>
        </w:tc>
        <w:tc>
          <w:tcPr>
            <w:tcW w:w="540" w:type="pct"/>
            <w:shd w:val="clear" w:color="auto" w:fill="FFFFFF"/>
            <w:noWrap w:val="0"/>
            <w:vAlign w:val="center"/>
          </w:tcPr>
          <w:p>
            <w:pPr>
              <w:widowControl/>
              <w:spacing w:line="240" w:lineRule="exac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36" w:hRule="atLeast"/>
          <w:jc w:val="center"/>
        </w:trPr>
        <w:tc>
          <w:tcPr>
            <w:tcW w:w="267"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产出指标</w:t>
            </w:r>
          </w:p>
        </w:tc>
        <w:tc>
          <w:tcPr>
            <w:tcW w:w="369"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数量指标</w:t>
            </w:r>
          </w:p>
        </w:tc>
        <w:tc>
          <w:tcPr>
            <w:tcW w:w="342" w:type="pc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对11家金融企业的扶持资金</w:t>
            </w:r>
          </w:p>
        </w:tc>
        <w:tc>
          <w:tcPr>
            <w:tcW w:w="704" w:type="pct"/>
            <w:shd w:val="clear" w:color="auto" w:fill="FFFFFF"/>
            <w:noWrap w:val="0"/>
            <w:vAlign w:val="center"/>
          </w:tcPr>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项目预算资金是否依据有关政策合理分配扶持资金，合理编制预算项目，资金额度是否与年度目标相适应。</w:t>
            </w:r>
          </w:p>
        </w:tc>
        <w:tc>
          <w:tcPr>
            <w:tcW w:w="2776" w:type="pct"/>
            <w:shd w:val="clear" w:color="auto" w:fill="FFFFFF"/>
            <w:noWrap w:val="0"/>
            <w:vAlign w:val="center"/>
          </w:tcPr>
          <w:p>
            <w:pPr>
              <w:widowControl/>
              <w:spacing w:line="2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评价要点：是否完成对11家金融企业的扶持资金兑</w:t>
            </w:r>
            <w:bookmarkStart w:id="0" w:name="_GoBack"/>
            <w:bookmarkEnd w:id="0"/>
            <w:r>
              <w:rPr>
                <w:rFonts w:hint="eastAsia" w:ascii="宋体" w:hAnsi="宋体" w:eastAsia="宋体" w:cs="宋体"/>
                <w:color w:val="000000"/>
                <w:kern w:val="0"/>
                <w:sz w:val="20"/>
                <w:szCs w:val="20"/>
              </w:rPr>
              <w:t>付</w:t>
            </w:r>
          </w:p>
        </w:tc>
        <w:tc>
          <w:tcPr>
            <w:tcW w:w="540" w:type="pct"/>
            <w:shd w:val="clear" w:color="auto" w:fill="FFFFFF"/>
            <w:noWrap w:val="0"/>
            <w:vAlign w:val="center"/>
          </w:tcPr>
          <w:p>
            <w:pPr>
              <w:widowControl/>
              <w:spacing w:line="240" w:lineRule="exac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2" w:hRule="atLeast"/>
          <w:jc w:val="center"/>
        </w:trPr>
        <w:tc>
          <w:tcPr>
            <w:tcW w:w="267" w:type="pc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ab/>
            </w:r>
          </w:p>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满意度指标</w:t>
            </w:r>
          </w:p>
        </w:tc>
        <w:tc>
          <w:tcPr>
            <w:tcW w:w="369" w:type="pc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服务对象满意度</w:t>
            </w:r>
          </w:p>
        </w:tc>
        <w:tc>
          <w:tcPr>
            <w:tcW w:w="342" w:type="pct"/>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扶持企业资金获得率</w:t>
            </w:r>
          </w:p>
        </w:tc>
        <w:tc>
          <w:tcPr>
            <w:tcW w:w="704" w:type="pct"/>
            <w:shd w:val="clear" w:color="auto" w:fill="FFFFFF"/>
            <w:noWrap w:val="0"/>
            <w:vAlign w:val="center"/>
          </w:tcPr>
          <w:p>
            <w:pPr>
              <w:widowControl/>
              <w:spacing w:line="2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ab/>
            </w:r>
          </w:p>
          <w:p>
            <w:pPr>
              <w:widowControl/>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符合条件的企业依照规定申请，由市金融管理局审核并报市政府审议通过予以拨付。</w:t>
            </w:r>
          </w:p>
        </w:tc>
        <w:tc>
          <w:tcPr>
            <w:tcW w:w="2776" w:type="pct"/>
            <w:shd w:val="clear" w:color="auto" w:fill="FFFFFF"/>
            <w:noWrap w:val="0"/>
            <w:vAlign w:val="center"/>
          </w:tcPr>
          <w:p>
            <w:pPr>
              <w:widowControl/>
              <w:spacing w:line="2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评价要点：扶持企业资金率是否为100%。</w:t>
            </w:r>
          </w:p>
        </w:tc>
        <w:tc>
          <w:tcPr>
            <w:tcW w:w="540" w:type="pct"/>
            <w:shd w:val="clear" w:color="auto" w:fill="FFFFFF"/>
            <w:noWrap w:val="0"/>
            <w:vAlign w:val="center"/>
          </w:tcPr>
          <w:p>
            <w:pPr>
              <w:widowControl/>
              <w:spacing w:line="240" w:lineRule="exac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A4A09"/>
    <w:rsid w:val="7A4A4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新宋体"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2022-10-19T10:17:00Z</dcterms:created>
  <dc:creator>Administrator</dc:creator>
  <cp:lastModifiedBy>Administrator</cp:lastModifiedBy>
  <dcterms:modified xsi:type="dcterms:W3CDTF">2022-10-19T10:29:40Z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