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6F" w:rsidRDefault="00142061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附件1-1</w:t>
      </w:r>
    </w:p>
    <w:p w:rsidR="0033076F" w:rsidRDefault="0033076F">
      <w:pPr>
        <w:rPr>
          <w:rFonts w:ascii="宋体" w:hAnsi="宋体"/>
          <w:b/>
          <w:bCs/>
          <w:sz w:val="44"/>
          <w:szCs w:val="44"/>
        </w:rPr>
      </w:pPr>
    </w:p>
    <w:p w:rsidR="0033076F" w:rsidRDefault="0033076F">
      <w:pPr>
        <w:rPr>
          <w:rFonts w:ascii="宋体" w:hAnsi="宋体"/>
          <w:b/>
          <w:bCs/>
          <w:sz w:val="44"/>
          <w:szCs w:val="44"/>
        </w:rPr>
      </w:pPr>
    </w:p>
    <w:p w:rsidR="0033076F" w:rsidRDefault="00142061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财政支出项目绩效评价报告</w:t>
      </w:r>
    </w:p>
    <w:p w:rsidR="0033076F" w:rsidRDefault="0033076F">
      <w:pPr>
        <w:rPr>
          <w:rFonts w:eastAsia="黑体" w:hint="eastAsia"/>
          <w:sz w:val="28"/>
          <w:szCs w:val="28"/>
        </w:rPr>
      </w:pPr>
    </w:p>
    <w:p w:rsidR="0033076F" w:rsidRDefault="0033076F">
      <w:pPr>
        <w:rPr>
          <w:rFonts w:eastAsia="黑体" w:hint="eastAsia"/>
          <w:sz w:val="28"/>
          <w:szCs w:val="28"/>
        </w:rPr>
      </w:pPr>
    </w:p>
    <w:p w:rsidR="0033076F" w:rsidRDefault="0033076F">
      <w:pPr>
        <w:rPr>
          <w:rFonts w:ascii="宋体" w:hAnsi="宋体"/>
          <w:sz w:val="28"/>
          <w:szCs w:val="28"/>
        </w:rPr>
      </w:pPr>
    </w:p>
    <w:p w:rsidR="0033076F" w:rsidRDefault="0033076F">
      <w:pPr>
        <w:rPr>
          <w:rFonts w:ascii="宋体" w:hAnsi="宋体"/>
          <w:sz w:val="28"/>
          <w:szCs w:val="28"/>
        </w:rPr>
      </w:pPr>
    </w:p>
    <w:p w:rsidR="0033076F" w:rsidRDefault="00142061">
      <w:pPr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评价类型：  </w:t>
      </w:r>
      <w:r>
        <w:rPr>
          <w:rFonts w:ascii="仿宋_GB2312" w:eastAsia="仿宋_GB2312" w:hAnsi="仿宋_GB2312" w:cs="仿宋_GB2312" w:hint="eastAsia"/>
          <w:spacing w:val="-20"/>
          <w:sz w:val="36"/>
          <w:u w:val="single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实施过程评价</w:t>
      </w:r>
      <w:r>
        <w:rPr>
          <w:rFonts w:ascii="仿宋_GB2312" w:eastAsia="仿宋_GB2312" w:hAnsi="仿宋_GB2312" w:cs="仿宋_GB2312" w:hint="eastAsia"/>
          <w:spacing w:val="-20"/>
          <w:sz w:val="36"/>
          <w:u w:val="single"/>
        </w:rPr>
        <w:t>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完成结果评价</w:t>
      </w:r>
    </w:p>
    <w:p w:rsidR="0033076F" w:rsidRDefault="00142061">
      <w:pPr>
        <w:ind w:left="1400" w:hangingChars="500" w:hanging="14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项目名称：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文化宣传活动项目 </w:t>
      </w:r>
    </w:p>
    <w:p w:rsidR="0033076F" w:rsidRDefault="00142061">
      <w:pPr>
        <w:ind w:left="1400" w:hangingChars="500" w:hanging="14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项目单位：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中共海口市委宣传部  </w:t>
      </w:r>
    </w:p>
    <w:p w:rsidR="0033076F" w:rsidRDefault="00142061">
      <w:pPr>
        <w:ind w:left="1400" w:hangingChars="500" w:hanging="14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主管部门：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中共海口市委宣传部          </w:t>
      </w:r>
    </w:p>
    <w:p w:rsidR="0033076F" w:rsidRDefault="00142061">
      <w:pPr>
        <w:ind w:left="1400" w:hangingChars="500" w:hanging="14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评价时间：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 w:rsidRPr="008B038F">
        <w:rPr>
          <w:rFonts w:ascii="仿宋_GB2312" w:eastAsia="仿宋_GB2312" w:hAnsi="仿宋_GB2312" w:cs="仿宋_GB2312" w:hint="eastAsia"/>
          <w:sz w:val="28"/>
          <w:szCs w:val="28"/>
          <w:u w:val="single"/>
        </w:rPr>
        <w:t>2020年 4月 10日至 2020年 4月20 日</w:t>
      </w:r>
    </w:p>
    <w:p w:rsidR="0033076F" w:rsidRDefault="00142061">
      <w:pPr>
        <w:ind w:left="1400" w:hangingChars="500" w:hanging="1400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组织方式：</w:t>
      </w:r>
      <w:r>
        <w:rPr>
          <w:rFonts w:ascii="仿宋_GB2312" w:eastAsia="仿宋_GB2312" w:hAnsi="仿宋_GB2312" w:cs="仿宋_GB2312" w:hint="eastAsia"/>
          <w:spacing w:val="-20"/>
          <w:sz w:val="36"/>
          <w:u w:val="single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财政部门    </w:t>
      </w:r>
      <w:r>
        <w:rPr>
          <w:rFonts w:ascii="仿宋_GB2312" w:eastAsia="仿宋_GB2312" w:hAnsi="仿宋_GB2312" w:cs="仿宋_GB2312" w:hint="eastAsia"/>
          <w:spacing w:val="-20"/>
          <w:sz w:val="36"/>
          <w:u w:val="single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主管部门   √项目单位</w:t>
      </w:r>
    </w:p>
    <w:p w:rsidR="0033076F" w:rsidRDefault="00142061">
      <w:pPr>
        <w:ind w:left="1400" w:hangingChars="500" w:hanging="14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评价机构：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√中介机构    </w:t>
      </w:r>
      <w:r>
        <w:rPr>
          <w:rFonts w:ascii="仿宋_GB2312" w:eastAsia="仿宋_GB2312" w:hAnsi="仿宋_GB2312" w:cs="仿宋_GB2312" w:hint="eastAsia"/>
          <w:spacing w:val="-20"/>
          <w:sz w:val="36"/>
          <w:u w:val="single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专家组     </w:t>
      </w:r>
      <w:r>
        <w:rPr>
          <w:rFonts w:ascii="仿宋_GB2312" w:eastAsia="仿宋_GB2312" w:hAnsi="仿宋_GB2312" w:cs="仿宋_GB2312" w:hint="eastAsia"/>
          <w:spacing w:val="-20"/>
          <w:sz w:val="36"/>
          <w:u w:val="single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项目单位评价组</w:t>
      </w:r>
    </w:p>
    <w:p w:rsidR="0033076F" w:rsidRDefault="0033076F">
      <w:pPr>
        <w:ind w:left="1400" w:hangingChars="500" w:hanging="1400"/>
        <w:rPr>
          <w:rFonts w:ascii="仿宋_GB2312" w:eastAsia="仿宋_GB2312" w:hAnsi="仿宋_GB2312" w:cs="仿宋_GB2312"/>
          <w:sz w:val="28"/>
          <w:szCs w:val="28"/>
        </w:rPr>
      </w:pPr>
    </w:p>
    <w:p w:rsidR="0033076F" w:rsidRDefault="0033076F">
      <w:pPr>
        <w:ind w:left="1400" w:hangingChars="500" w:hanging="1400"/>
        <w:rPr>
          <w:rFonts w:ascii="仿宋_GB2312" w:eastAsia="仿宋_GB2312" w:hAnsi="仿宋_GB2312" w:cs="仿宋_GB2312"/>
          <w:sz w:val="28"/>
          <w:szCs w:val="28"/>
        </w:rPr>
      </w:pPr>
    </w:p>
    <w:p w:rsidR="0033076F" w:rsidRDefault="0033076F">
      <w:pPr>
        <w:ind w:left="1400" w:hangingChars="500" w:hanging="1400"/>
        <w:rPr>
          <w:rFonts w:ascii="仿宋_GB2312" w:eastAsia="仿宋_GB2312" w:hAnsi="仿宋_GB2312" w:cs="仿宋_GB2312"/>
          <w:sz w:val="28"/>
          <w:szCs w:val="28"/>
        </w:rPr>
      </w:pPr>
    </w:p>
    <w:p w:rsidR="0033076F" w:rsidRDefault="0033076F">
      <w:pPr>
        <w:ind w:left="1400" w:hangingChars="500" w:hanging="1400"/>
        <w:rPr>
          <w:rFonts w:ascii="仿宋_GB2312" w:eastAsia="仿宋_GB2312" w:hAnsi="仿宋_GB2312" w:cs="仿宋_GB2312"/>
          <w:sz w:val="28"/>
          <w:szCs w:val="28"/>
        </w:rPr>
      </w:pPr>
    </w:p>
    <w:p w:rsidR="0033076F" w:rsidRDefault="0033076F">
      <w:pPr>
        <w:ind w:left="1400" w:hangingChars="500" w:hanging="1400"/>
        <w:rPr>
          <w:rFonts w:ascii="仿宋_GB2312" w:eastAsia="仿宋_GB2312" w:hAnsi="仿宋_GB2312" w:cs="仿宋_GB2312"/>
          <w:sz w:val="28"/>
          <w:szCs w:val="28"/>
        </w:rPr>
      </w:pPr>
    </w:p>
    <w:p w:rsidR="0033076F" w:rsidRDefault="0014206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评价单位（盖章）：中共海口市委宣传部</w:t>
      </w:r>
    </w:p>
    <w:p w:rsidR="0033076F" w:rsidRDefault="00142061">
      <w:pPr>
        <w:ind w:left="1400" w:hangingChars="500" w:hanging="14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</w:t>
      </w:r>
      <w:r w:rsidRPr="008B038F">
        <w:rPr>
          <w:rFonts w:ascii="仿宋_GB2312" w:eastAsia="仿宋_GB2312" w:hAnsi="仿宋_GB2312" w:cs="仿宋_GB2312" w:hint="eastAsia"/>
          <w:sz w:val="28"/>
          <w:szCs w:val="28"/>
        </w:rPr>
        <w:t>上报时间：2020年4月20日</w:t>
      </w:r>
    </w:p>
    <w:p w:rsidR="0033076F" w:rsidRDefault="0033076F">
      <w:pPr>
        <w:jc w:val="center"/>
        <w:rPr>
          <w:rFonts w:ascii="仿宋_GB2312" w:eastAsia="仿宋_GB2312" w:hAnsi="仿宋_GB2312" w:cs="仿宋_GB2312"/>
          <w:szCs w:val="32"/>
        </w:rPr>
      </w:pPr>
    </w:p>
    <w:p w:rsidR="0033076F" w:rsidRDefault="0033076F">
      <w:pPr>
        <w:jc w:val="center"/>
        <w:rPr>
          <w:rFonts w:ascii="仿宋_GB2312" w:eastAsia="仿宋_GB2312" w:hAnsi="仿宋_GB2312" w:cs="仿宋_GB2312"/>
          <w:szCs w:val="32"/>
        </w:rPr>
      </w:pPr>
    </w:p>
    <w:p w:rsidR="0033076F" w:rsidRDefault="00142061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附件1-2</w:t>
      </w:r>
    </w:p>
    <w:p w:rsidR="0033076F" w:rsidRDefault="00142061">
      <w:pPr>
        <w:jc w:val="center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宋体" w:hAnsi="宋体" w:hint="eastAsia"/>
          <w:b/>
          <w:bCs/>
          <w:sz w:val="44"/>
          <w:szCs w:val="44"/>
        </w:rPr>
        <w:t>项目绩效目标表</w:t>
      </w:r>
    </w:p>
    <w:p w:rsidR="0033076F" w:rsidRDefault="00142061">
      <w:pPr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项目名称：文化宣传活动项目</w:t>
      </w:r>
    </w:p>
    <w:tbl>
      <w:tblPr>
        <w:tblStyle w:val="a6"/>
        <w:tblW w:w="9782" w:type="dxa"/>
        <w:tblInd w:w="-176" w:type="dxa"/>
        <w:tblLayout w:type="fixed"/>
        <w:tblLook w:val="04A0"/>
      </w:tblPr>
      <w:tblGrid>
        <w:gridCol w:w="851"/>
        <w:gridCol w:w="993"/>
        <w:gridCol w:w="2409"/>
        <w:gridCol w:w="1560"/>
        <w:gridCol w:w="1417"/>
        <w:gridCol w:w="1283"/>
        <w:gridCol w:w="1269"/>
      </w:tblGrid>
      <w:tr w:rsidR="0033076F">
        <w:trPr>
          <w:trHeight w:val="556"/>
        </w:trPr>
        <w:tc>
          <w:tcPr>
            <w:tcW w:w="851" w:type="dxa"/>
            <w:vMerge w:val="restart"/>
            <w:vAlign w:val="center"/>
          </w:tcPr>
          <w:p w:rsidR="0033076F" w:rsidRDefault="00142061">
            <w:pPr>
              <w:pStyle w:val="p0"/>
              <w:snapToGrid w:val="0"/>
              <w:spacing w:line="578" w:lineRule="atLeast"/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Arial" w:cs="Arial" w:hint="eastAsia"/>
              </w:rPr>
              <w:t>指标类型</w:t>
            </w:r>
          </w:p>
        </w:tc>
        <w:tc>
          <w:tcPr>
            <w:tcW w:w="993" w:type="dxa"/>
            <w:vMerge w:val="restart"/>
            <w:vAlign w:val="center"/>
          </w:tcPr>
          <w:p w:rsidR="0033076F" w:rsidRDefault="00142061">
            <w:pPr>
              <w:pStyle w:val="p0"/>
              <w:snapToGrid w:val="0"/>
              <w:spacing w:line="578" w:lineRule="atLeast"/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Arial" w:cs="Arial" w:hint="eastAsia"/>
              </w:rPr>
              <w:t>指标名称</w:t>
            </w:r>
          </w:p>
        </w:tc>
        <w:tc>
          <w:tcPr>
            <w:tcW w:w="2409" w:type="dxa"/>
            <w:vMerge w:val="restart"/>
            <w:vAlign w:val="center"/>
          </w:tcPr>
          <w:p w:rsidR="0033076F" w:rsidRDefault="00142061">
            <w:pPr>
              <w:pStyle w:val="p0"/>
              <w:snapToGrid w:val="0"/>
              <w:spacing w:line="578" w:lineRule="atLeast"/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Arial" w:cs="Arial" w:hint="eastAsia"/>
              </w:rPr>
              <w:t>绩效目标</w:t>
            </w:r>
          </w:p>
        </w:tc>
        <w:tc>
          <w:tcPr>
            <w:tcW w:w="5529" w:type="dxa"/>
            <w:gridSpan w:val="4"/>
            <w:vAlign w:val="center"/>
          </w:tcPr>
          <w:p w:rsidR="0033076F" w:rsidRDefault="00142061">
            <w:pPr>
              <w:pStyle w:val="p0"/>
              <w:snapToGrid w:val="0"/>
              <w:spacing w:line="578" w:lineRule="atLeast"/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Arial" w:cs="Arial" w:hint="eastAsia"/>
              </w:rPr>
              <w:t>绩效标准</w:t>
            </w:r>
          </w:p>
        </w:tc>
      </w:tr>
      <w:tr w:rsidR="0033076F">
        <w:trPr>
          <w:trHeight w:val="550"/>
        </w:trPr>
        <w:tc>
          <w:tcPr>
            <w:tcW w:w="851" w:type="dxa"/>
            <w:vMerge/>
            <w:vAlign w:val="center"/>
          </w:tcPr>
          <w:p w:rsidR="0033076F" w:rsidRDefault="0033076F">
            <w:pPr>
              <w:pStyle w:val="p0"/>
              <w:snapToGrid w:val="0"/>
              <w:spacing w:line="578" w:lineRule="atLeast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993" w:type="dxa"/>
            <w:vMerge/>
            <w:vAlign w:val="center"/>
          </w:tcPr>
          <w:p w:rsidR="0033076F" w:rsidRDefault="0033076F">
            <w:pPr>
              <w:pStyle w:val="p0"/>
              <w:snapToGrid w:val="0"/>
              <w:spacing w:line="578" w:lineRule="atLeast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2409" w:type="dxa"/>
            <w:vMerge/>
            <w:vAlign w:val="center"/>
          </w:tcPr>
          <w:p w:rsidR="0033076F" w:rsidRDefault="0033076F">
            <w:pPr>
              <w:pStyle w:val="p0"/>
              <w:snapToGrid w:val="0"/>
              <w:spacing w:line="578" w:lineRule="atLeast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1560" w:type="dxa"/>
            <w:vAlign w:val="center"/>
          </w:tcPr>
          <w:p w:rsidR="0033076F" w:rsidRDefault="00142061">
            <w:pPr>
              <w:pStyle w:val="p0"/>
              <w:snapToGrid w:val="0"/>
              <w:spacing w:line="578" w:lineRule="atLeast"/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Arial" w:cs="Arial" w:hint="eastAsia"/>
              </w:rPr>
              <w:t>优</w:t>
            </w:r>
          </w:p>
        </w:tc>
        <w:tc>
          <w:tcPr>
            <w:tcW w:w="1417" w:type="dxa"/>
            <w:vAlign w:val="center"/>
          </w:tcPr>
          <w:p w:rsidR="0033076F" w:rsidRDefault="00142061">
            <w:pPr>
              <w:pStyle w:val="p0"/>
              <w:snapToGrid w:val="0"/>
              <w:spacing w:line="578" w:lineRule="atLeast"/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Arial" w:cs="Arial" w:hint="eastAsia"/>
              </w:rPr>
              <w:t>良</w:t>
            </w:r>
          </w:p>
        </w:tc>
        <w:tc>
          <w:tcPr>
            <w:tcW w:w="1283" w:type="dxa"/>
            <w:vAlign w:val="center"/>
          </w:tcPr>
          <w:p w:rsidR="0033076F" w:rsidRDefault="00142061">
            <w:pPr>
              <w:pStyle w:val="p0"/>
              <w:snapToGrid w:val="0"/>
              <w:spacing w:line="578" w:lineRule="atLeast"/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Arial" w:cs="Arial" w:hint="eastAsia"/>
              </w:rPr>
              <w:t>中</w:t>
            </w:r>
          </w:p>
        </w:tc>
        <w:tc>
          <w:tcPr>
            <w:tcW w:w="1269" w:type="dxa"/>
            <w:vAlign w:val="center"/>
          </w:tcPr>
          <w:p w:rsidR="0033076F" w:rsidRDefault="00142061">
            <w:pPr>
              <w:pStyle w:val="p0"/>
              <w:snapToGrid w:val="0"/>
              <w:spacing w:line="578" w:lineRule="atLeast"/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Arial" w:cs="Arial" w:hint="eastAsia"/>
              </w:rPr>
              <w:t>差</w:t>
            </w:r>
          </w:p>
        </w:tc>
      </w:tr>
      <w:tr w:rsidR="0033076F">
        <w:trPr>
          <w:trHeight w:val="941"/>
        </w:trPr>
        <w:tc>
          <w:tcPr>
            <w:tcW w:w="851" w:type="dxa"/>
            <w:vMerge w:val="restart"/>
            <w:vAlign w:val="center"/>
          </w:tcPr>
          <w:p w:rsidR="0033076F" w:rsidRDefault="00142061">
            <w:pPr>
              <w:pStyle w:val="p0"/>
              <w:snapToGrid w:val="0"/>
              <w:spacing w:line="578" w:lineRule="atLeas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>
              <w:rPr>
                <w:rFonts w:ascii="仿宋_GB2312" w:eastAsia="仿宋_GB2312" w:hAnsi="Arial" w:cs="Arial" w:hint="eastAsia"/>
              </w:rPr>
              <w:t>产出指标</w:t>
            </w:r>
          </w:p>
        </w:tc>
        <w:tc>
          <w:tcPr>
            <w:tcW w:w="993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户外广告投放量</w:t>
            </w:r>
          </w:p>
        </w:tc>
        <w:tc>
          <w:tcPr>
            <w:tcW w:w="2409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制作发布中央、省委、市委重大主题活动户外公益广告，面积达到1000㎡</w:t>
            </w:r>
          </w:p>
        </w:tc>
        <w:tc>
          <w:tcPr>
            <w:tcW w:w="1560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面积≧1000㎡</w:t>
            </w:r>
          </w:p>
        </w:tc>
        <w:tc>
          <w:tcPr>
            <w:tcW w:w="1417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面积≧800㎡</w:t>
            </w:r>
          </w:p>
        </w:tc>
        <w:tc>
          <w:tcPr>
            <w:tcW w:w="1283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面积≧600㎡</w:t>
            </w:r>
          </w:p>
        </w:tc>
        <w:tc>
          <w:tcPr>
            <w:tcW w:w="1269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面积&lt;600㎡</w:t>
            </w:r>
          </w:p>
        </w:tc>
      </w:tr>
      <w:tr w:rsidR="0033076F">
        <w:trPr>
          <w:trHeight w:val="730"/>
        </w:trPr>
        <w:tc>
          <w:tcPr>
            <w:tcW w:w="851" w:type="dxa"/>
            <w:vMerge/>
            <w:vAlign w:val="center"/>
          </w:tcPr>
          <w:p w:rsidR="0033076F" w:rsidRDefault="0033076F">
            <w:pPr>
              <w:pStyle w:val="p0"/>
              <w:snapToGrid w:val="0"/>
              <w:spacing w:line="42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开展重大主题宣传</w:t>
            </w:r>
          </w:p>
        </w:tc>
        <w:tc>
          <w:tcPr>
            <w:tcW w:w="2409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与网络媒体合作开展重大主题宣传活动次数较上年持平</w:t>
            </w:r>
          </w:p>
        </w:tc>
        <w:tc>
          <w:tcPr>
            <w:tcW w:w="1560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较上年增加5%（含）以上</w:t>
            </w:r>
          </w:p>
        </w:tc>
        <w:tc>
          <w:tcPr>
            <w:tcW w:w="1417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较上年增加1%-4%</w:t>
            </w:r>
          </w:p>
        </w:tc>
        <w:tc>
          <w:tcPr>
            <w:tcW w:w="1283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较上年持平</w:t>
            </w:r>
          </w:p>
        </w:tc>
        <w:tc>
          <w:tcPr>
            <w:tcW w:w="1269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低于上一年度</w:t>
            </w:r>
          </w:p>
        </w:tc>
      </w:tr>
      <w:tr w:rsidR="0033076F">
        <w:trPr>
          <w:trHeight w:val="1870"/>
        </w:trPr>
        <w:tc>
          <w:tcPr>
            <w:tcW w:w="851" w:type="dxa"/>
            <w:vMerge/>
            <w:vAlign w:val="center"/>
          </w:tcPr>
          <w:p w:rsidR="0033076F" w:rsidRDefault="0033076F">
            <w:pPr>
              <w:pStyle w:val="p0"/>
              <w:snapToGrid w:val="0"/>
              <w:spacing w:line="42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围绕市委、市政府的中心工作，组织省、市媒体开展重大主题宣传驻琼媒体报道量</w:t>
            </w:r>
          </w:p>
        </w:tc>
        <w:tc>
          <w:tcPr>
            <w:tcW w:w="2409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围绕市委、市政府的中心工作，协调驻琼主流媒体开展重要主题宣传；围绕市委、市政府中心工作及紧急、重要事项举办新闻发布会；围绕市委、市政府中心工作，组织城市形象宣传活动。 </w:t>
            </w:r>
          </w:p>
        </w:tc>
        <w:tc>
          <w:tcPr>
            <w:tcW w:w="1560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主流媒体有关海口的报道的数量超出上年度10%以上；举办新闻发布会超过30场；组织开展的城市形象宣传活动效果明显，在全国有影响力。</w:t>
            </w:r>
          </w:p>
        </w:tc>
        <w:tc>
          <w:tcPr>
            <w:tcW w:w="1417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主流媒体有关海口的报道的数量比上年度增加5%；举办新闻发布会30场；组织开展的城市形象宣传活动效果较明显，在全国一定范围产生影响力。</w:t>
            </w:r>
          </w:p>
        </w:tc>
        <w:tc>
          <w:tcPr>
            <w:tcW w:w="1283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主流媒体有关海口的报道的数量与上年持平；举办新闻发布会少于30场；组织开展的城市形象宣传活动效果一般，在省内产生影响力。</w:t>
            </w:r>
          </w:p>
        </w:tc>
        <w:tc>
          <w:tcPr>
            <w:tcW w:w="1269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主流媒体有关海口的报道的数量低于上一年度；举办新闻发布会少于25场；组织开展的城市形象宣传活动效果不明显，影响力范围仅在市内。</w:t>
            </w:r>
          </w:p>
        </w:tc>
      </w:tr>
      <w:tr w:rsidR="0033076F">
        <w:trPr>
          <w:trHeight w:val="1950"/>
        </w:trPr>
        <w:tc>
          <w:tcPr>
            <w:tcW w:w="851" w:type="dxa"/>
            <w:vMerge/>
            <w:vAlign w:val="center"/>
          </w:tcPr>
          <w:p w:rsidR="0033076F" w:rsidRDefault="0033076F">
            <w:pPr>
              <w:pStyle w:val="p0"/>
              <w:snapToGrid w:val="0"/>
              <w:spacing w:line="578" w:lineRule="atLeast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993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围绕市委、市政府的中心工作，组织省、市媒体开展重大主题宣传省市媒体报道量</w:t>
            </w:r>
          </w:p>
        </w:tc>
        <w:tc>
          <w:tcPr>
            <w:tcW w:w="2409" w:type="dxa"/>
            <w:vAlign w:val="center"/>
          </w:tcPr>
          <w:p w:rsidR="0033076F" w:rsidRDefault="00142061">
            <w:pPr>
              <w:spacing w:after="280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组织省、市各媒体围绕市委、市政府的要求进行报道，针对性强、主题突出。海南日报、海南广播电视总台《海南新闻联播》报道海口的数量超出上年度4%以上。</w:t>
            </w:r>
          </w:p>
        </w:tc>
        <w:tc>
          <w:tcPr>
            <w:tcW w:w="1560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组织省、市各媒体围绕市委、市政府的要求进行报道，针对性强、主题突出。报道海口的数量超出上年度4%以上。</w:t>
            </w:r>
          </w:p>
        </w:tc>
        <w:tc>
          <w:tcPr>
            <w:tcW w:w="1417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组织省、市主流媒体围绕市委、市政府的要求进行报道，主题突出。海南日报、海南广播电视总台《海南新闻联播》报道海口的数量比组织省、市主流媒体围绕市委、市政府的要求进行报道，主题突出。报道海口的数量比上年度增加1%-2%。</w:t>
            </w:r>
          </w:p>
        </w:tc>
        <w:tc>
          <w:tcPr>
            <w:tcW w:w="1283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安排市属媒体进行常规报道。海南日报、海南广播电视总台《海南新闻联播》报道海口的数量与上年持平。</w:t>
            </w:r>
          </w:p>
        </w:tc>
        <w:tc>
          <w:tcPr>
            <w:tcW w:w="1269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各级媒体均没有报道。海南日报、海南广播电视总台《海南新闻联播》报道海口的数量低于上一年度。</w:t>
            </w:r>
          </w:p>
        </w:tc>
      </w:tr>
      <w:tr w:rsidR="0033076F">
        <w:trPr>
          <w:trHeight w:val="1001"/>
        </w:trPr>
        <w:tc>
          <w:tcPr>
            <w:tcW w:w="851" w:type="dxa"/>
            <w:vMerge/>
            <w:vAlign w:val="center"/>
          </w:tcPr>
          <w:p w:rsidR="0033076F" w:rsidRDefault="0033076F">
            <w:pPr>
              <w:pStyle w:val="p0"/>
              <w:snapToGrid w:val="0"/>
              <w:spacing w:line="578" w:lineRule="atLeast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993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舆情信息发现时效性 </w:t>
            </w:r>
          </w:p>
        </w:tc>
        <w:tc>
          <w:tcPr>
            <w:tcW w:w="2409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重大、热点舆情6小时内发现 </w:t>
            </w:r>
          </w:p>
        </w:tc>
        <w:tc>
          <w:tcPr>
            <w:tcW w:w="1560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重大、热点舆情6小时内发现</w:t>
            </w:r>
          </w:p>
        </w:tc>
        <w:tc>
          <w:tcPr>
            <w:tcW w:w="1417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重大、热点舆情8小时内发现</w:t>
            </w:r>
          </w:p>
        </w:tc>
        <w:tc>
          <w:tcPr>
            <w:tcW w:w="1283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重大、热点舆情12小时内发现</w:t>
            </w:r>
          </w:p>
        </w:tc>
        <w:tc>
          <w:tcPr>
            <w:tcW w:w="1269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重大、热点舆情超出12小时</w:t>
            </w:r>
          </w:p>
        </w:tc>
      </w:tr>
      <w:tr w:rsidR="0033076F">
        <w:trPr>
          <w:trHeight w:val="2717"/>
        </w:trPr>
        <w:tc>
          <w:tcPr>
            <w:tcW w:w="851" w:type="dxa"/>
            <w:vMerge w:val="restart"/>
            <w:vAlign w:val="center"/>
          </w:tcPr>
          <w:p w:rsidR="0033076F" w:rsidRDefault="00142061">
            <w:pPr>
              <w:pStyle w:val="p0"/>
              <w:snapToGrid w:val="0"/>
              <w:spacing w:line="578" w:lineRule="atLeast"/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Arial" w:cs="Arial" w:hint="eastAsia"/>
              </w:rPr>
              <w:t>效益指标</w:t>
            </w:r>
          </w:p>
        </w:tc>
        <w:tc>
          <w:tcPr>
            <w:tcW w:w="993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社会氛围程度</w:t>
            </w:r>
          </w:p>
        </w:tc>
        <w:tc>
          <w:tcPr>
            <w:tcW w:w="2409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为中央、省委、市委重大活动营造浓厚的社会氛围。 </w:t>
            </w:r>
          </w:p>
        </w:tc>
        <w:tc>
          <w:tcPr>
            <w:tcW w:w="1560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重大活动户外广告宣传期间，在要求开展氛围营造的路段上每1000米有一块公益广告，社会氛围浓厚。</w:t>
            </w:r>
          </w:p>
        </w:tc>
        <w:tc>
          <w:tcPr>
            <w:tcW w:w="1417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重大活动户外广告宣传期间，在要求开展氛围营造的路段上每1500米有一块公益广告，有良好的社会氛围。</w:t>
            </w:r>
          </w:p>
        </w:tc>
        <w:tc>
          <w:tcPr>
            <w:tcW w:w="1283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重大活动户外广告宣传期间，在要求开展氛围营造的路段上每2000米有一块公益广告，社会氛围一般。</w:t>
            </w:r>
          </w:p>
        </w:tc>
        <w:tc>
          <w:tcPr>
            <w:tcW w:w="1269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重大活动社会氛围不够，被上级部门通报批评。</w:t>
            </w:r>
          </w:p>
        </w:tc>
      </w:tr>
      <w:tr w:rsidR="0033076F">
        <w:trPr>
          <w:trHeight w:val="1950"/>
        </w:trPr>
        <w:tc>
          <w:tcPr>
            <w:tcW w:w="851" w:type="dxa"/>
            <w:vMerge/>
            <w:vAlign w:val="center"/>
          </w:tcPr>
          <w:p w:rsidR="0033076F" w:rsidRDefault="0033076F">
            <w:pPr>
              <w:pStyle w:val="p0"/>
              <w:snapToGrid w:val="0"/>
              <w:spacing w:line="578" w:lineRule="atLeast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993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省、市媒体报道量</w:t>
            </w:r>
          </w:p>
        </w:tc>
        <w:tc>
          <w:tcPr>
            <w:tcW w:w="2409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省级媒体和市级媒体在重要版面、重要时段进行充分报道，氛围十分浓厚。海南日报、海南广播电视总台《海南新闻联播》报道海口的数量超出上年度4%以上。</w:t>
            </w:r>
          </w:p>
        </w:tc>
        <w:tc>
          <w:tcPr>
            <w:tcW w:w="1560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省级媒体和市级媒体在重要版面、重要时段进行充分报道，氛围十分浓厚。报道海口的数量超出上年度4%以上。</w:t>
            </w:r>
          </w:p>
        </w:tc>
        <w:tc>
          <w:tcPr>
            <w:tcW w:w="1417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按照市委、市政府的要求，省级、市级主流媒体进行大量报道，氛围浓厚。报道海口的数量比上年度增加1%-2%。</w:t>
            </w:r>
          </w:p>
        </w:tc>
        <w:tc>
          <w:tcPr>
            <w:tcW w:w="1283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只有市属媒体进行简单报道，有一定氛围。报道海口的数量与上年持平。</w:t>
            </w:r>
          </w:p>
        </w:tc>
        <w:tc>
          <w:tcPr>
            <w:tcW w:w="1269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各级媒体均没有报道，没有氛围。海南日报、报道海口的数量低于上一年度。</w:t>
            </w:r>
          </w:p>
        </w:tc>
      </w:tr>
      <w:tr w:rsidR="0033076F">
        <w:trPr>
          <w:trHeight w:val="1361"/>
        </w:trPr>
        <w:tc>
          <w:tcPr>
            <w:tcW w:w="851" w:type="dxa"/>
            <w:vMerge/>
            <w:vAlign w:val="center"/>
          </w:tcPr>
          <w:p w:rsidR="0033076F" w:rsidRDefault="0033076F">
            <w:pPr>
              <w:pStyle w:val="p0"/>
              <w:snapToGrid w:val="0"/>
              <w:spacing w:line="578" w:lineRule="atLeast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993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网络媒体报道情况</w:t>
            </w:r>
          </w:p>
        </w:tc>
        <w:tc>
          <w:tcPr>
            <w:tcW w:w="2409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网络报道海口的数量与上年持平。 </w:t>
            </w:r>
          </w:p>
        </w:tc>
        <w:tc>
          <w:tcPr>
            <w:tcW w:w="1560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网络报道海口的数量超出上年度3%（含）以上。</w:t>
            </w:r>
          </w:p>
        </w:tc>
        <w:tc>
          <w:tcPr>
            <w:tcW w:w="1417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网络报道海口的数量比上年度增加1%-2%。</w:t>
            </w:r>
          </w:p>
        </w:tc>
        <w:tc>
          <w:tcPr>
            <w:tcW w:w="1283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网络报道海口的数量与上年持平。</w:t>
            </w:r>
          </w:p>
        </w:tc>
        <w:tc>
          <w:tcPr>
            <w:tcW w:w="1269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网络报道海口的数量低于上一年度。</w:t>
            </w:r>
          </w:p>
        </w:tc>
      </w:tr>
      <w:tr w:rsidR="0033076F">
        <w:trPr>
          <w:trHeight w:val="1267"/>
        </w:trPr>
        <w:tc>
          <w:tcPr>
            <w:tcW w:w="851" w:type="dxa"/>
            <w:vMerge/>
            <w:vAlign w:val="center"/>
          </w:tcPr>
          <w:p w:rsidR="0033076F" w:rsidRDefault="0033076F">
            <w:pPr>
              <w:pStyle w:val="p0"/>
              <w:snapToGrid w:val="0"/>
              <w:spacing w:line="578" w:lineRule="atLeast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993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舆情信息发现率 </w:t>
            </w:r>
          </w:p>
        </w:tc>
        <w:tc>
          <w:tcPr>
            <w:tcW w:w="2409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自动舆情采集，舆情分析，舆情汇总，舆情监视，并识别其中的重要舆情信息，发现率95% </w:t>
            </w:r>
          </w:p>
        </w:tc>
        <w:tc>
          <w:tcPr>
            <w:tcW w:w="1560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重要舆情信息发现率95%（含）以上</w:t>
            </w:r>
          </w:p>
        </w:tc>
        <w:tc>
          <w:tcPr>
            <w:tcW w:w="1417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重要舆情信息发现率85-94%</w:t>
            </w:r>
          </w:p>
        </w:tc>
        <w:tc>
          <w:tcPr>
            <w:tcW w:w="1283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重要舆情信息发现率75-84%</w:t>
            </w:r>
          </w:p>
        </w:tc>
        <w:tc>
          <w:tcPr>
            <w:tcW w:w="1269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重要舆情信息发现率75%以下</w:t>
            </w:r>
          </w:p>
        </w:tc>
      </w:tr>
      <w:tr w:rsidR="0033076F">
        <w:trPr>
          <w:trHeight w:val="4518"/>
        </w:trPr>
        <w:tc>
          <w:tcPr>
            <w:tcW w:w="851" w:type="dxa"/>
            <w:vMerge/>
            <w:vAlign w:val="center"/>
          </w:tcPr>
          <w:p w:rsidR="0033076F" w:rsidRDefault="0033076F">
            <w:pPr>
              <w:pStyle w:val="p0"/>
              <w:snapToGrid w:val="0"/>
              <w:spacing w:line="578" w:lineRule="atLeast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993" w:type="dxa"/>
            <w:vAlign w:val="center"/>
          </w:tcPr>
          <w:p w:rsidR="0033076F" w:rsidRDefault="00142061">
            <w:pPr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驻琼媒体报道量</w:t>
            </w:r>
          </w:p>
        </w:tc>
        <w:tc>
          <w:tcPr>
            <w:tcW w:w="2409" w:type="dxa"/>
            <w:vAlign w:val="center"/>
          </w:tcPr>
          <w:p w:rsidR="0033076F" w:rsidRDefault="00142061">
            <w:pPr>
              <w:spacing w:after="280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驻琼主流媒体报道情况；举办新闻发布会情况；组织开展城市形象宣传活动效果情况。 </w:t>
            </w:r>
          </w:p>
        </w:tc>
        <w:tc>
          <w:tcPr>
            <w:tcW w:w="1560" w:type="dxa"/>
            <w:vAlign w:val="center"/>
          </w:tcPr>
          <w:p w:rsidR="0033076F" w:rsidRDefault="00142061">
            <w:pPr>
              <w:spacing w:after="280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驻琼主流媒体在重要版面、时段均进行报道，氛围浓厚。主流媒体报道海口的数量超出上年度10%以上；我市举办新闻发布会超过30场；组织开展的城市形象宣传活动效果明显，在全国有影响力。</w:t>
            </w:r>
          </w:p>
        </w:tc>
        <w:tc>
          <w:tcPr>
            <w:tcW w:w="1417" w:type="dxa"/>
            <w:vAlign w:val="center"/>
          </w:tcPr>
          <w:p w:rsidR="0033076F" w:rsidRDefault="00142061">
            <w:pPr>
              <w:spacing w:after="280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驻琼主流媒体有关海口的报道氛围较浓厚。主流媒体报道海口的数量比上年度增加5%；我市举办新闻发布会30场；组织开展的城市形象宣传活动效果较明显，在全国一定范围产生影响力。</w:t>
            </w:r>
          </w:p>
        </w:tc>
        <w:tc>
          <w:tcPr>
            <w:tcW w:w="1283" w:type="dxa"/>
            <w:vAlign w:val="center"/>
          </w:tcPr>
          <w:p w:rsidR="0033076F" w:rsidRDefault="00142061">
            <w:pPr>
              <w:spacing w:after="280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主流驻琼媒体报道海口的数量与上年持平；我市举办新闻发布会少于30场；组织开展的城市形象宣传活动效果一般，在省内产生影响力。</w:t>
            </w:r>
          </w:p>
        </w:tc>
        <w:tc>
          <w:tcPr>
            <w:tcW w:w="1269" w:type="dxa"/>
            <w:vAlign w:val="center"/>
          </w:tcPr>
          <w:p w:rsidR="0033076F" w:rsidRDefault="00142061">
            <w:pPr>
              <w:spacing w:after="280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 驻琼媒体均没有报道。主流驻琼媒体报道海口的的数量低于上一年度；我市举办新闻发布会少于25场；组织开展的城市形象宣传活动效果不明显，影响力范围仅在市内。</w:t>
            </w:r>
          </w:p>
        </w:tc>
      </w:tr>
    </w:tbl>
    <w:p w:rsidR="0033076F" w:rsidRDefault="00142061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附件1-3</w:t>
      </w:r>
    </w:p>
    <w:p w:rsidR="0033076F" w:rsidRDefault="0033076F">
      <w:pPr>
        <w:spacing w:line="520" w:lineRule="exact"/>
        <w:rPr>
          <w:rFonts w:ascii="宋体" w:hAnsi="宋体"/>
          <w:b/>
          <w:sz w:val="44"/>
          <w:szCs w:val="44"/>
        </w:rPr>
      </w:pPr>
    </w:p>
    <w:p w:rsidR="0033076F" w:rsidRDefault="00142061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项目基本信息表</w:t>
      </w:r>
    </w:p>
    <w:p w:rsidR="0033076F" w:rsidRDefault="0033076F"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9215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560"/>
        <w:gridCol w:w="119"/>
        <w:gridCol w:w="536"/>
        <w:gridCol w:w="452"/>
        <w:gridCol w:w="594"/>
        <w:gridCol w:w="142"/>
        <w:gridCol w:w="685"/>
        <w:gridCol w:w="22"/>
        <w:gridCol w:w="859"/>
        <w:gridCol w:w="277"/>
        <w:gridCol w:w="1134"/>
        <w:gridCol w:w="490"/>
        <w:gridCol w:w="215"/>
        <w:gridCol w:w="624"/>
        <w:gridCol w:w="230"/>
        <w:gridCol w:w="379"/>
        <w:gridCol w:w="897"/>
      </w:tblGrid>
      <w:tr w:rsidR="0033076F">
        <w:trPr>
          <w:trHeight w:val="533"/>
        </w:trPr>
        <w:tc>
          <w:tcPr>
            <w:tcW w:w="9215" w:type="dxa"/>
            <w:gridSpan w:val="17"/>
            <w:vAlign w:val="center"/>
          </w:tcPr>
          <w:p w:rsidR="0033076F" w:rsidRDefault="00142061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一、项目基本情况</w:t>
            </w:r>
          </w:p>
        </w:tc>
      </w:tr>
      <w:tr w:rsidR="0033076F">
        <w:trPr>
          <w:trHeight w:val="533"/>
        </w:trPr>
        <w:tc>
          <w:tcPr>
            <w:tcW w:w="2215" w:type="dxa"/>
            <w:gridSpan w:val="3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项目实施单位</w:t>
            </w:r>
          </w:p>
        </w:tc>
        <w:tc>
          <w:tcPr>
            <w:tcW w:w="1895" w:type="dxa"/>
            <w:gridSpan w:val="5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中共海口市委宣传部</w:t>
            </w:r>
          </w:p>
        </w:tc>
        <w:tc>
          <w:tcPr>
            <w:tcW w:w="2270" w:type="dxa"/>
            <w:gridSpan w:val="3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2835" w:type="dxa"/>
            <w:gridSpan w:val="6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中共海口市委宣传部</w:t>
            </w:r>
          </w:p>
        </w:tc>
      </w:tr>
      <w:tr w:rsidR="0033076F">
        <w:trPr>
          <w:trHeight w:val="533"/>
        </w:trPr>
        <w:tc>
          <w:tcPr>
            <w:tcW w:w="2215" w:type="dxa"/>
            <w:gridSpan w:val="3"/>
            <w:vAlign w:val="center"/>
          </w:tcPr>
          <w:p w:rsidR="0033076F" w:rsidRPr="008B038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B038F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895" w:type="dxa"/>
            <w:gridSpan w:val="5"/>
            <w:vAlign w:val="center"/>
          </w:tcPr>
          <w:p w:rsidR="0033076F" w:rsidRPr="008B038F" w:rsidRDefault="008B75C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B038F">
              <w:rPr>
                <w:rFonts w:ascii="宋体" w:hAnsi="宋体" w:hint="eastAsia"/>
                <w:sz w:val="24"/>
              </w:rPr>
              <w:t>林榕明</w:t>
            </w:r>
          </w:p>
        </w:tc>
        <w:tc>
          <w:tcPr>
            <w:tcW w:w="2270" w:type="dxa"/>
            <w:gridSpan w:val="3"/>
            <w:vAlign w:val="center"/>
          </w:tcPr>
          <w:p w:rsidR="0033076F" w:rsidRPr="008B038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B038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35" w:type="dxa"/>
            <w:gridSpan w:val="6"/>
            <w:vAlign w:val="center"/>
          </w:tcPr>
          <w:p w:rsidR="0033076F" w:rsidRPr="008B038F" w:rsidRDefault="00142061" w:rsidP="008B75C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B038F">
              <w:rPr>
                <w:rFonts w:ascii="宋体" w:hAnsi="宋体" w:hint="eastAsia"/>
                <w:sz w:val="24"/>
              </w:rPr>
              <w:t>687231</w:t>
            </w:r>
            <w:r w:rsidR="008B75C1" w:rsidRPr="008B038F">
              <w:rPr>
                <w:rFonts w:ascii="宋体" w:hAnsi="宋体" w:hint="eastAsia"/>
                <w:sz w:val="24"/>
              </w:rPr>
              <w:t>30</w:t>
            </w:r>
          </w:p>
        </w:tc>
      </w:tr>
      <w:tr w:rsidR="0033076F">
        <w:trPr>
          <w:trHeight w:val="533"/>
        </w:trPr>
        <w:tc>
          <w:tcPr>
            <w:tcW w:w="2215" w:type="dxa"/>
            <w:gridSpan w:val="3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165" w:type="dxa"/>
            <w:gridSpan w:val="8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长滨一路第二行政办公室</w:t>
            </w:r>
          </w:p>
        </w:tc>
        <w:tc>
          <w:tcPr>
            <w:tcW w:w="1938" w:type="dxa"/>
            <w:gridSpan w:val="5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897" w:type="dxa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570135</w:t>
            </w:r>
          </w:p>
        </w:tc>
      </w:tr>
      <w:tr w:rsidR="0033076F">
        <w:trPr>
          <w:trHeight w:val="533"/>
        </w:trPr>
        <w:tc>
          <w:tcPr>
            <w:tcW w:w="2215" w:type="dxa"/>
            <w:gridSpan w:val="3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项目类型</w:t>
            </w:r>
          </w:p>
        </w:tc>
        <w:tc>
          <w:tcPr>
            <w:tcW w:w="7000" w:type="dxa"/>
            <w:gridSpan w:val="14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经常性项目（  √ ）       一次性项目（  ）</w:t>
            </w:r>
          </w:p>
        </w:tc>
      </w:tr>
      <w:tr w:rsidR="0033076F">
        <w:trPr>
          <w:trHeight w:val="1013"/>
        </w:trPr>
        <w:tc>
          <w:tcPr>
            <w:tcW w:w="2215" w:type="dxa"/>
            <w:gridSpan w:val="3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计划投资额</w:t>
            </w:r>
          </w:p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1188" w:type="dxa"/>
            <w:gridSpan w:val="3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1488.58</w:t>
            </w:r>
          </w:p>
        </w:tc>
        <w:tc>
          <w:tcPr>
            <w:tcW w:w="1843" w:type="dxa"/>
            <w:gridSpan w:val="4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实际到位资金（万元）</w:t>
            </w:r>
          </w:p>
        </w:tc>
        <w:tc>
          <w:tcPr>
            <w:tcW w:w="1134" w:type="dxa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2146.48</w:t>
            </w:r>
          </w:p>
        </w:tc>
        <w:tc>
          <w:tcPr>
            <w:tcW w:w="1559" w:type="dxa"/>
            <w:gridSpan w:val="4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实际使用情况（万元）</w:t>
            </w:r>
          </w:p>
        </w:tc>
        <w:tc>
          <w:tcPr>
            <w:tcW w:w="1276" w:type="dxa"/>
            <w:gridSpan w:val="2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2146.28</w:t>
            </w:r>
          </w:p>
        </w:tc>
      </w:tr>
      <w:tr w:rsidR="0033076F">
        <w:trPr>
          <w:trHeight w:val="533"/>
        </w:trPr>
        <w:tc>
          <w:tcPr>
            <w:tcW w:w="2215" w:type="dxa"/>
            <w:gridSpan w:val="3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其中：中央财政</w:t>
            </w:r>
          </w:p>
        </w:tc>
        <w:tc>
          <w:tcPr>
            <w:tcW w:w="1188" w:type="dxa"/>
            <w:gridSpan w:val="3"/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其中：中央财政</w:t>
            </w:r>
          </w:p>
        </w:tc>
        <w:tc>
          <w:tcPr>
            <w:tcW w:w="1134" w:type="dxa"/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3076F">
        <w:trPr>
          <w:trHeight w:val="533"/>
        </w:trPr>
        <w:tc>
          <w:tcPr>
            <w:tcW w:w="2215" w:type="dxa"/>
            <w:gridSpan w:val="3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省财政</w:t>
            </w:r>
          </w:p>
        </w:tc>
        <w:tc>
          <w:tcPr>
            <w:tcW w:w="1188" w:type="dxa"/>
            <w:gridSpan w:val="3"/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省财政</w:t>
            </w:r>
          </w:p>
        </w:tc>
        <w:tc>
          <w:tcPr>
            <w:tcW w:w="1134" w:type="dxa"/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3076F">
        <w:trPr>
          <w:trHeight w:val="533"/>
        </w:trPr>
        <w:tc>
          <w:tcPr>
            <w:tcW w:w="2215" w:type="dxa"/>
            <w:gridSpan w:val="3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市县财政</w:t>
            </w:r>
          </w:p>
        </w:tc>
        <w:tc>
          <w:tcPr>
            <w:tcW w:w="1188" w:type="dxa"/>
            <w:gridSpan w:val="3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1488.58</w:t>
            </w:r>
          </w:p>
        </w:tc>
        <w:tc>
          <w:tcPr>
            <w:tcW w:w="1843" w:type="dxa"/>
            <w:gridSpan w:val="4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市县财政</w:t>
            </w:r>
          </w:p>
        </w:tc>
        <w:tc>
          <w:tcPr>
            <w:tcW w:w="1134" w:type="dxa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2146.48</w:t>
            </w:r>
          </w:p>
        </w:tc>
        <w:tc>
          <w:tcPr>
            <w:tcW w:w="1559" w:type="dxa"/>
            <w:gridSpan w:val="4"/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3076F">
        <w:trPr>
          <w:trHeight w:val="533"/>
        </w:trPr>
        <w:tc>
          <w:tcPr>
            <w:tcW w:w="2215" w:type="dxa"/>
            <w:gridSpan w:val="3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188" w:type="dxa"/>
            <w:gridSpan w:val="3"/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134" w:type="dxa"/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3076F">
        <w:trPr>
          <w:trHeight w:val="533"/>
        </w:trPr>
        <w:tc>
          <w:tcPr>
            <w:tcW w:w="9215" w:type="dxa"/>
            <w:gridSpan w:val="17"/>
            <w:tcBorders>
              <w:bottom w:val="single" w:sz="4" w:space="0" w:color="000000"/>
            </w:tcBorders>
            <w:vAlign w:val="center"/>
          </w:tcPr>
          <w:p w:rsidR="0033076F" w:rsidRDefault="00142061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二、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绩效评价指标评分</w:t>
            </w:r>
          </w:p>
        </w:tc>
      </w:tr>
      <w:tr w:rsidR="0033076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一级指标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二级指标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三级指标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得分</w:t>
            </w:r>
          </w:p>
        </w:tc>
      </w:tr>
      <w:tr w:rsidR="0033076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1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项目决策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项目目标</w:t>
            </w:r>
            <w:r>
              <w:rPr>
                <w:rFonts w:ascii="宋体" w:hAnsi="宋体" w:hint="eastAsia"/>
                <w:noProof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noProof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noProof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noProof/>
                <w:sz w:val="24"/>
              </w:rPr>
              <w:drawing>
                <wp:inline distT="0" distB="0" distL="114300" distR="114300">
                  <wp:extent cx="19050" cy="19050"/>
                  <wp:effectExtent l="0" t="0" r="0" b="0"/>
                  <wp:docPr id="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目标内容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</w:tr>
      <w:tr w:rsidR="0033076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1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决策过程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决策依据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</w:tr>
      <w:tr w:rsidR="0033076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1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决策程序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</w:tr>
      <w:tr w:rsidR="0033076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1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资金分配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分配办法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33076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1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分配结果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</w:tr>
      <w:tr w:rsidR="0033076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1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项目管理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资金到位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到位率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</w:tr>
      <w:tr w:rsidR="0033076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1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到位时效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</w:tr>
      <w:tr w:rsidR="0033076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1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资金管理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资金使用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</w:tr>
      <w:tr w:rsidR="0033076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1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财务管理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</w:tr>
      <w:tr w:rsidR="0033076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1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组织实施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组织机构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33076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1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管理制度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</w:tr>
      <w:tr w:rsidR="0033076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1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项目绩效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55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项目产出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产出数量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</w:tr>
      <w:tr w:rsidR="0033076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1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产出质量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</w:tr>
      <w:tr w:rsidR="0033076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1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产出时效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</w:tr>
      <w:tr w:rsidR="0033076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1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产出成本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</w:tr>
      <w:tr w:rsidR="0033076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1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项目效益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经济效益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</w:tr>
      <w:tr w:rsidR="0033076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社会效益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</w:tr>
      <w:tr w:rsidR="0033076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环境效益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</w:tr>
      <w:tr w:rsidR="0033076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1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可持续影响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</w:tr>
      <w:tr w:rsidR="0033076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服务对象满意度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</w:tr>
      <w:tr w:rsidR="0033076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总分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9453EE"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fldChar w:fldCharType="begin"/>
            </w:r>
            <w:r w:rsidR="00142061">
              <w:rPr>
                <w:rFonts w:ascii="宋体" w:hAnsi="宋体"/>
                <w:bCs/>
                <w:color w:val="000000"/>
                <w:sz w:val="24"/>
              </w:rPr>
              <w:instrText xml:space="preserve"> =SUM(ABOVE) </w:instrText>
            </w:r>
            <w:r>
              <w:rPr>
                <w:rFonts w:ascii="宋体" w:hAnsi="宋体"/>
                <w:bCs/>
                <w:color w:val="000000"/>
                <w:sz w:val="24"/>
              </w:rPr>
              <w:fldChar w:fldCharType="separate"/>
            </w:r>
            <w:r w:rsidR="00142061">
              <w:rPr>
                <w:rFonts w:ascii="宋体" w:hAnsi="宋体"/>
                <w:bCs/>
                <w:color w:val="000000"/>
                <w:sz w:val="24"/>
              </w:rPr>
              <w:t>96</w:t>
            </w:r>
            <w:r>
              <w:rPr>
                <w:rFonts w:ascii="宋体" w:hAnsi="宋体"/>
                <w:bCs/>
                <w:color w:val="000000"/>
                <w:sz w:val="24"/>
              </w:rPr>
              <w:fldChar w:fldCharType="end"/>
            </w:r>
          </w:p>
        </w:tc>
      </w:tr>
      <w:tr w:rsidR="0033076F">
        <w:tblPrEx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4969" w:type="dxa"/>
            <w:gridSpan w:val="9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评价等次</w:t>
            </w:r>
          </w:p>
        </w:tc>
        <w:tc>
          <w:tcPr>
            <w:tcW w:w="4246" w:type="dxa"/>
            <w:gridSpan w:val="8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优</w:t>
            </w:r>
          </w:p>
        </w:tc>
      </w:tr>
      <w:tr w:rsidR="0033076F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9215" w:type="dxa"/>
            <w:gridSpan w:val="17"/>
            <w:vAlign w:val="center"/>
          </w:tcPr>
          <w:p w:rsidR="0033076F" w:rsidRDefault="00142061"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三、评价人员</w:t>
            </w:r>
          </w:p>
        </w:tc>
      </w:tr>
      <w:tr w:rsidR="0033076F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1560" w:type="dxa"/>
            <w:vAlign w:val="center"/>
          </w:tcPr>
          <w:p w:rsidR="0033076F" w:rsidRDefault="00142061">
            <w:pPr>
              <w:tabs>
                <w:tab w:val="left" w:pos="592"/>
              </w:tabs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701" w:type="dxa"/>
            <w:gridSpan w:val="4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3824" w:type="dxa"/>
            <w:gridSpan w:val="8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 位</w:t>
            </w:r>
          </w:p>
        </w:tc>
        <w:tc>
          <w:tcPr>
            <w:tcW w:w="2130" w:type="dxa"/>
            <w:gridSpan w:val="4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字</w:t>
            </w:r>
          </w:p>
        </w:tc>
      </w:tr>
      <w:tr w:rsidR="0033076F">
        <w:tblPrEx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1560" w:type="dxa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张乙玲</w:t>
            </w:r>
          </w:p>
        </w:tc>
        <w:tc>
          <w:tcPr>
            <w:tcW w:w="1701" w:type="dxa"/>
            <w:gridSpan w:val="4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注册会计师</w:t>
            </w:r>
          </w:p>
        </w:tc>
        <w:tc>
          <w:tcPr>
            <w:tcW w:w="3824" w:type="dxa"/>
            <w:gridSpan w:val="8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海南亿信会计师事务所（普通合伙）</w:t>
            </w:r>
          </w:p>
        </w:tc>
        <w:tc>
          <w:tcPr>
            <w:tcW w:w="2130" w:type="dxa"/>
            <w:gridSpan w:val="4"/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3076F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1560" w:type="dxa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张国君</w:t>
            </w:r>
          </w:p>
        </w:tc>
        <w:tc>
          <w:tcPr>
            <w:tcW w:w="1701" w:type="dxa"/>
            <w:gridSpan w:val="4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审计经理</w:t>
            </w:r>
          </w:p>
        </w:tc>
        <w:tc>
          <w:tcPr>
            <w:tcW w:w="3824" w:type="dxa"/>
            <w:gridSpan w:val="8"/>
          </w:tcPr>
          <w:p w:rsidR="0033076F" w:rsidRDefault="00142061">
            <w:pPr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</w:rPr>
              <w:t>海南亿信会计师事务所（普通合伙）</w:t>
            </w:r>
          </w:p>
        </w:tc>
        <w:tc>
          <w:tcPr>
            <w:tcW w:w="2130" w:type="dxa"/>
            <w:gridSpan w:val="4"/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3076F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1560" w:type="dxa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周敏</w:t>
            </w:r>
          </w:p>
        </w:tc>
        <w:tc>
          <w:tcPr>
            <w:tcW w:w="1701" w:type="dxa"/>
            <w:gridSpan w:val="4"/>
            <w:vAlign w:val="center"/>
          </w:tcPr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审计助理</w:t>
            </w:r>
          </w:p>
        </w:tc>
        <w:tc>
          <w:tcPr>
            <w:tcW w:w="3824" w:type="dxa"/>
            <w:gridSpan w:val="8"/>
          </w:tcPr>
          <w:p w:rsidR="0033076F" w:rsidRDefault="00142061">
            <w:pPr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</w:rPr>
              <w:t>海南亿信会计师事务所（普通合伙）</w:t>
            </w:r>
          </w:p>
        </w:tc>
        <w:tc>
          <w:tcPr>
            <w:tcW w:w="2130" w:type="dxa"/>
            <w:gridSpan w:val="4"/>
            <w:vAlign w:val="center"/>
          </w:tcPr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3076F">
        <w:tblPrEx>
          <w:tblCellMar>
            <w:left w:w="108" w:type="dxa"/>
            <w:right w:w="108" w:type="dxa"/>
          </w:tblCellMar>
        </w:tblPrEx>
        <w:trPr>
          <w:trHeight w:val="2522"/>
        </w:trPr>
        <w:tc>
          <w:tcPr>
            <w:tcW w:w="9215" w:type="dxa"/>
            <w:gridSpan w:val="17"/>
            <w:tcBorders>
              <w:bottom w:val="single" w:sz="4" w:space="0" w:color="auto"/>
            </w:tcBorders>
            <w:vAlign w:val="center"/>
          </w:tcPr>
          <w:p w:rsidR="0033076F" w:rsidRDefault="00142061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评价工作组组长（签字）：</w:t>
            </w:r>
          </w:p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33076F" w:rsidRDefault="0033076F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33076F" w:rsidRDefault="00142061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项目单位负责人（签字并盖章）：</w:t>
            </w:r>
          </w:p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33076F" w:rsidRDefault="0014206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年     月     日</w:t>
            </w:r>
          </w:p>
          <w:p w:rsidR="0033076F" w:rsidRDefault="0033076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3076F" w:rsidRDefault="0033076F">
      <w:pPr>
        <w:spacing w:line="578" w:lineRule="exact"/>
        <w:rPr>
          <w:rFonts w:ascii="宋体" w:hAnsi="宋体"/>
          <w:sz w:val="28"/>
          <w:szCs w:val="28"/>
        </w:rPr>
      </w:pPr>
    </w:p>
    <w:p w:rsidR="0033076F" w:rsidRDefault="00142061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附件1-4</w:t>
      </w:r>
    </w:p>
    <w:p w:rsidR="0033076F" w:rsidRDefault="00142061">
      <w:pPr>
        <w:pStyle w:val="p0"/>
        <w:snapToGrid w:val="0"/>
        <w:spacing w:line="578" w:lineRule="atLeast"/>
        <w:jc w:val="center"/>
        <w:rPr>
          <w:rFonts w:cs="Arial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中共海口市委宣传部</w:t>
      </w:r>
    </w:p>
    <w:p w:rsidR="0033076F" w:rsidRDefault="00142061">
      <w:pPr>
        <w:pStyle w:val="p0"/>
        <w:snapToGrid w:val="0"/>
        <w:spacing w:line="578" w:lineRule="atLeast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 w:val="44"/>
          <w:szCs w:val="44"/>
        </w:rPr>
        <w:t>文化宣传活动项目绩效评价报告</w:t>
      </w:r>
    </w:p>
    <w:p w:rsidR="0033076F" w:rsidRDefault="0033076F">
      <w:pPr>
        <w:pStyle w:val="p0"/>
        <w:snapToGrid w:val="0"/>
        <w:spacing w:line="578" w:lineRule="atLeast"/>
        <w:ind w:firstLine="420"/>
        <w:rPr>
          <w:rFonts w:ascii="黑体" w:eastAsia="黑体" w:hAnsi="黑体" w:cs="黑体"/>
          <w:sz w:val="32"/>
          <w:szCs w:val="32"/>
        </w:rPr>
      </w:pPr>
    </w:p>
    <w:p w:rsidR="0033076F" w:rsidRDefault="00142061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一、项目概况</w:t>
      </w:r>
    </w:p>
    <w:p w:rsidR="0033076F" w:rsidRDefault="00142061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（一）项目基本性质、用途和主要内容</w:t>
      </w:r>
    </w:p>
    <w:p w:rsidR="0033076F" w:rsidRDefault="0014206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化宣传活动项目为经常性项目。经费用途主要为推动海口城市形象宣传，将海口城市形象推向世界，让全世界了解海口、赞美海口，助力国际旅游岛建设。主要工作内容有：开展宣传活动、组织媒体采访、开展重大事项宣传前培训工作、委托电视台、报社等媒体进行相关报道、进行社会宣传广告制作、聘请专家进行座谈等。</w:t>
      </w:r>
    </w:p>
    <w:p w:rsidR="0033076F" w:rsidRDefault="00142061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（二）项目绩效目标</w:t>
      </w:r>
    </w:p>
    <w:p w:rsidR="0033076F" w:rsidRDefault="00142061">
      <w:pPr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文化宣传活动项目2019年的产出指标有5项：主要为户外广告投放量达到1000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㎡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；开展重大主体宣传；围绕市委、市政府的中心工作，组织省、市媒体开展重大主题宣传驻琼媒体报道量；围绕市委、市政府的中心工作，组织省、市媒体开展重大主题宣传省市媒体报道量；舆情信息发现时效性。成效指标有5项：主要为社会氛围程度；省、市媒体报道量；网络媒体报道情况；舆情信息发现率；驻琼媒体报道量。</w:t>
      </w:r>
    </w:p>
    <w:p w:rsidR="0033076F" w:rsidRDefault="00142061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二、项目资金使用及管理情况</w:t>
      </w:r>
    </w:p>
    <w:p w:rsidR="0033076F" w:rsidRDefault="00142061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（一）项目资金到位情况分析</w:t>
      </w:r>
    </w:p>
    <w:p w:rsidR="0033076F" w:rsidRDefault="00142061">
      <w:pPr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中共海口市委宣传部2019年年初预算申请该项目预算资金1488.58万元。海财教函[2019]4964号文下达资金21万元,2018年度结转项目资金730万元，其中海财教[2018]7827号文结转资金380万元（关于下达新华社全媒体宣传推广经费的通知），海财教[2018]9483号文结转资金350万元（关于下达唱响新时代走进海口节目录制经费的通知）。根据可执行性指标执行情况明细表文件，调整减少文化宣传活动项目资金93.10万元。调整后2019年该项目实际到位资金2146.48万元。</w:t>
      </w:r>
    </w:p>
    <w:p w:rsidR="0033076F" w:rsidRDefault="00142061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（二）项目资金使用情况分析</w:t>
      </w:r>
    </w:p>
    <w:p w:rsidR="0033076F" w:rsidRDefault="00142061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2019年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文化宣传活动项目预算资金实际支出2146.28万元，资金使用率99.99%。</w:t>
      </w:r>
    </w:p>
    <w:p w:rsidR="0033076F" w:rsidRDefault="00142061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资金支出明细如下：</w:t>
      </w:r>
    </w:p>
    <w:tbl>
      <w:tblPr>
        <w:tblW w:w="85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"/>
        <w:gridCol w:w="5001"/>
        <w:gridCol w:w="2565"/>
      </w:tblGrid>
      <w:tr w:rsidR="0033076F">
        <w:trPr>
          <w:trHeight w:val="2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76F" w:rsidRDefault="001420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支出经济分类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6F" w:rsidRDefault="001420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实际支出金额（万元）</w:t>
            </w:r>
          </w:p>
        </w:tc>
      </w:tr>
      <w:tr w:rsidR="0033076F">
        <w:trPr>
          <w:trHeight w:val="2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76F" w:rsidRDefault="0014206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办公费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6F" w:rsidRDefault="0014206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0.20</w:t>
            </w:r>
          </w:p>
        </w:tc>
      </w:tr>
      <w:tr w:rsidR="0033076F">
        <w:trPr>
          <w:trHeight w:val="2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76F" w:rsidRDefault="0014206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印刷费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6F" w:rsidRDefault="0014206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23.17</w:t>
            </w:r>
          </w:p>
        </w:tc>
      </w:tr>
      <w:tr w:rsidR="0033076F">
        <w:trPr>
          <w:trHeight w:val="2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76F" w:rsidRDefault="0014206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邮电费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6F" w:rsidRDefault="0014206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0.01</w:t>
            </w:r>
          </w:p>
        </w:tc>
      </w:tr>
      <w:tr w:rsidR="0033076F">
        <w:trPr>
          <w:trHeight w:val="2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76F" w:rsidRDefault="0014206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差旅费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6F" w:rsidRDefault="0014206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6.48</w:t>
            </w:r>
          </w:p>
        </w:tc>
      </w:tr>
      <w:tr w:rsidR="0033076F">
        <w:trPr>
          <w:trHeight w:val="2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76F" w:rsidRDefault="0014206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会议费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1.39</w:t>
            </w:r>
          </w:p>
        </w:tc>
      </w:tr>
      <w:tr w:rsidR="0033076F">
        <w:trPr>
          <w:trHeight w:val="2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76F" w:rsidRDefault="0014206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公务接待费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0.85</w:t>
            </w:r>
          </w:p>
        </w:tc>
      </w:tr>
      <w:tr w:rsidR="0033076F">
        <w:trPr>
          <w:trHeight w:val="2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76F" w:rsidRDefault="0014206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委托业务费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572.89</w:t>
            </w:r>
          </w:p>
        </w:tc>
      </w:tr>
      <w:tr w:rsidR="0033076F">
        <w:trPr>
          <w:trHeight w:val="2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76F" w:rsidRDefault="0014206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其他交通费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6.96</w:t>
            </w:r>
          </w:p>
        </w:tc>
      </w:tr>
      <w:tr w:rsidR="0033076F">
        <w:trPr>
          <w:trHeight w:val="2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76F" w:rsidRDefault="0014206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税金及附加费用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0.45</w:t>
            </w:r>
          </w:p>
        </w:tc>
      </w:tr>
      <w:tr w:rsidR="0033076F">
        <w:trPr>
          <w:trHeight w:val="2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76F" w:rsidRDefault="0014206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其他商品和服务支出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1512.88</w:t>
            </w:r>
          </w:p>
        </w:tc>
      </w:tr>
      <w:tr w:rsidR="0033076F">
        <w:trPr>
          <w:trHeight w:val="2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76F" w:rsidRDefault="0014206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奖励金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14206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21.00</w:t>
            </w:r>
          </w:p>
        </w:tc>
      </w:tr>
      <w:tr w:rsidR="0033076F">
        <w:trPr>
          <w:trHeight w:val="2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6F" w:rsidRDefault="0033076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76F" w:rsidRDefault="001420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6F" w:rsidRDefault="009453EE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fldChar w:fldCharType="begin"/>
            </w:r>
            <w:r w:rsidR="00142061"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fldChar w:fldCharType="separate"/>
            </w:r>
            <w:r w:rsidR="00142061"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>2146.28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33076F" w:rsidRDefault="00142061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（三）项目资金管理情况分析</w:t>
      </w:r>
    </w:p>
    <w:p w:rsidR="0033076F" w:rsidRDefault="00142061">
      <w:pPr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在项目资金使用管理过程中，市委宣传部严格按照预算批复的要求，在预算范围内使用，专款专用。在资金支付过程中，市委宣传部严格按照合同约定支付款项，支付的每一笔款项都按单位财务管理规定办理相关手续，并经国库支付局会计核算站审核，确保了资金支出的合理合规性，资金使用较为规范。</w:t>
      </w:r>
    </w:p>
    <w:p w:rsidR="0033076F" w:rsidRDefault="00142061">
      <w:pPr>
        <w:ind w:firstLineChars="200"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三、项目组织实施情况</w:t>
      </w:r>
    </w:p>
    <w:p w:rsidR="0033076F" w:rsidRDefault="00142061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（一）项目组织情况分析</w:t>
      </w:r>
    </w:p>
    <w:p w:rsidR="0033076F" w:rsidRDefault="0014206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委宣传部围绕市委、市政府的中心工作，组织实施文化宣传活动，各活动的开展严格依照程序执行，各项活动均需制定活动方案及经费预算，通过市委宣传部部长办公室会议讨论通过后方可实施，涉及资金较大项目需通过政府采购方式公开招标，各项目均需与有项目举办资质的单位签订相关合同，资金拨付严格按照合同约定支付，活动完成后需通过各方组织验收。</w:t>
      </w:r>
    </w:p>
    <w:p w:rsidR="0033076F" w:rsidRDefault="00142061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（二）项目管理情况分析</w:t>
      </w:r>
    </w:p>
    <w:p w:rsidR="0033076F" w:rsidRDefault="0014206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市委宣传部参照往年支付情况，结合2019年度支出范围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进行了整体的预测，细化了支出经济分类所需的预算资金使其达到合理的范围。</w:t>
      </w:r>
      <w:r w:rsidR="0054502B">
        <w:rPr>
          <w:rFonts w:ascii="仿宋_GB2312" w:eastAsia="仿宋_GB2312" w:hAnsi="仿宋" w:hint="eastAsia"/>
          <w:sz w:val="32"/>
          <w:szCs w:val="32"/>
        </w:rPr>
        <w:t>未制定项目管理制度，项目实施参照</w:t>
      </w:r>
      <w:r w:rsidR="0054502B" w:rsidRPr="0054502B">
        <w:rPr>
          <w:rFonts w:ascii="仿宋_GB2312" w:eastAsia="仿宋_GB2312" w:hAnsi="仿宋" w:hint="eastAsia"/>
          <w:sz w:val="32"/>
          <w:szCs w:val="32"/>
        </w:rPr>
        <w:t>海口市各项管理规定并结合</w:t>
      </w:r>
      <w:r w:rsidR="0054502B">
        <w:rPr>
          <w:rFonts w:ascii="仿宋_GB2312" w:eastAsia="仿宋_GB2312" w:hAnsi="仿宋" w:hint="eastAsia"/>
          <w:sz w:val="32"/>
          <w:szCs w:val="32"/>
        </w:rPr>
        <w:t>市委宣传部的内部管理制度进行管理。</w:t>
      </w:r>
    </w:p>
    <w:p w:rsidR="0033076F" w:rsidRDefault="00142061">
      <w:pPr>
        <w:pStyle w:val="2"/>
        <w:spacing w:line="240" w:lineRule="auto"/>
        <w:ind w:firstLine="640"/>
        <w:rPr>
          <w:rFonts w:ascii="黑体" w:eastAsia="黑体" w:hAnsi="黑体" w:cs="黑体"/>
          <w:b w:val="0"/>
          <w:bCs/>
          <w:sz w:val="32"/>
          <w:szCs w:val="32"/>
        </w:rPr>
      </w:pPr>
      <w:r>
        <w:rPr>
          <w:rFonts w:ascii="黑体" w:eastAsia="黑体" w:hAnsi="黑体" w:cs="黑体" w:hint="eastAsia"/>
          <w:b w:val="0"/>
          <w:bCs/>
          <w:sz w:val="32"/>
          <w:szCs w:val="32"/>
        </w:rPr>
        <w:t>四、项目绩效情况</w:t>
      </w:r>
    </w:p>
    <w:p w:rsidR="0033076F" w:rsidRDefault="00142061">
      <w:pPr>
        <w:pStyle w:val="2"/>
        <w:spacing w:line="240" w:lineRule="auto"/>
        <w:ind w:firstLine="643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（一）项目绩效目标完成情况分析</w:t>
      </w:r>
    </w:p>
    <w:p w:rsidR="0033076F" w:rsidRDefault="00142061">
      <w:pPr>
        <w:pStyle w:val="2"/>
        <w:spacing w:line="240" w:lineRule="auto"/>
        <w:ind w:firstLineChars="0"/>
        <w:rPr>
          <w:rFonts w:hAnsi="宋体"/>
          <w:b w:val="0"/>
          <w:color w:val="000000"/>
          <w:kern w:val="0"/>
          <w:sz w:val="32"/>
          <w:szCs w:val="32"/>
        </w:rPr>
      </w:pPr>
      <w:r>
        <w:rPr>
          <w:rFonts w:hAnsi="宋体" w:hint="eastAsia"/>
          <w:b w:val="0"/>
          <w:color w:val="000000"/>
          <w:kern w:val="0"/>
          <w:sz w:val="32"/>
          <w:szCs w:val="32"/>
        </w:rPr>
        <w:t>1.项目的经济性分析</w:t>
      </w:r>
    </w:p>
    <w:p w:rsidR="0033076F" w:rsidRDefault="00142061">
      <w:pPr>
        <w:pStyle w:val="2"/>
        <w:spacing w:line="240" w:lineRule="auto"/>
        <w:ind w:firstLineChars="0"/>
        <w:rPr>
          <w:rFonts w:hAnsi="宋体"/>
          <w:b w:val="0"/>
          <w:bCs/>
          <w:color w:val="000000"/>
          <w:kern w:val="0"/>
          <w:sz w:val="32"/>
          <w:szCs w:val="32"/>
        </w:rPr>
      </w:pPr>
      <w:r>
        <w:rPr>
          <w:rFonts w:hAnsi="宋体" w:hint="eastAsia"/>
          <w:b w:val="0"/>
          <w:bCs/>
          <w:color w:val="000000"/>
          <w:kern w:val="0"/>
          <w:sz w:val="32"/>
          <w:szCs w:val="32"/>
        </w:rPr>
        <w:t>（1）项目成本（预算）控制情况</w:t>
      </w:r>
    </w:p>
    <w:p w:rsidR="0033076F" w:rsidRDefault="00142061">
      <w:pPr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文化宣传活动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项目2019年1月结转2018年度剩余项目预算资金730万元，下达2019年度年初预算金额1488.48万元，2019年8月根据海财教函[2019]4964号文调整政府预算支出经济分类增加21万元，该项目初始预算资金合计2239.58元，年中调减预算资金93.1万元，最终批复用款计划2146.48万元。</w:t>
      </w:r>
    </w:p>
    <w:p w:rsidR="0033076F" w:rsidRDefault="00142061">
      <w:pPr>
        <w:pStyle w:val="2"/>
        <w:spacing w:line="240" w:lineRule="auto"/>
        <w:ind w:firstLineChars="0"/>
        <w:rPr>
          <w:rFonts w:hAnsi="宋体"/>
          <w:b w:val="0"/>
          <w:color w:val="000000"/>
          <w:kern w:val="0"/>
          <w:sz w:val="32"/>
          <w:szCs w:val="32"/>
        </w:rPr>
      </w:pPr>
      <w:r>
        <w:rPr>
          <w:rFonts w:hAnsi="宋体" w:hint="eastAsia"/>
          <w:b w:val="0"/>
          <w:color w:val="000000"/>
          <w:kern w:val="0"/>
          <w:sz w:val="32"/>
          <w:szCs w:val="32"/>
        </w:rPr>
        <w:t>（2）项目成本（预算）节约情况</w:t>
      </w:r>
    </w:p>
    <w:p w:rsidR="0033076F" w:rsidRDefault="00142061">
      <w:pPr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项目批复预算金额2146.48万元，实际支出2146.28万元。本项目按照项目年初测算范围执行，确保款项能专款专用，没发生其他额外成本。</w:t>
      </w:r>
    </w:p>
    <w:p w:rsidR="0033076F" w:rsidRDefault="00142061">
      <w:pPr>
        <w:pStyle w:val="2"/>
        <w:spacing w:line="240" w:lineRule="auto"/>
        <w:ind w:firstLineChars="0"/>
        <w:rPr>
          <w:rFonts w:hAnsi="宋体"/>
          <w:b w:val="0"/>
          <w:color w:val="000000"/>
          <w:kern w:val="0"/>
          <w:sz w:val="32"/>
          <w:szCs w:val="32"/>
        </w:rPr>
      </w:pPr>
      <w:r>
        <w:rPr>
          <w:rFonts w:hAnsi="宋体" w:hint="eastAsia"/>
          <w:b w:val="0"/>
          <w:color w:val="000000"/>
          <w:kern w:val="0"/>
          <w:sz w:val="32"/>
          <w:szCs w:val="32"/>
        </w:rPr>
        <w:t>2.项目的效率性分析</w:t>
      </w:r>
    </w:p>
    <w:p w:rsidR="0033076F" w:rsidRDefault="00142061">
      <w:pPr>
        <w:pStyle w:val="2"/>
        <w:spacing w:line="240" w:lineRule="auto"/>
        <w:ind w:firstLineChars="0"/>
        <w:rPr>
          <w:rFonts w:hAnsi="宋体"/>
          <w:b w:val="0"/>
          <w:color w:val="000000"/>
          <w:kern w:val="0"/>
          <w:sz w:val="32"/>
          <w:szCs w:val="32"/>
        </w:rPr>
      </w:pPr>
      <w:r>
        <w:rPr>
          <w:rFonts w:hAnsi="宋体" w:hint="eastAsia"/>
          <w:b w:val="0"/>
          <w:color w:val="000000"/>
          <w:kern w:val="0"/>
          <w:sz w:val="32"/>
          <w:szCs w:val="32"/>
        </w:rPr>
        <w:t>（1）项目的实施进度</w:t>
      </w:r>
    </w:p>
    <w:p w:rsidR="0033076F" w:rsidRDefault="00142061">
      <w:pPr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该项目预算资金2146.48万元，实际支出2146.28万元，结余资金0.2万元，支付进度率</w:t>
      </w:r>
      <w:r>
        <w:rPr>
          <w:rFonts w:ascii="仿宋_GB2312" w:eastAsia="仿宋_GB2312" w:hAnsi="宋体"/>
          <w:color w:val="000000"/>
          <w:kern w:val="0"/>
          <w:sz w:val="32"/>
          <w:szCs w:val="32"/>
        </w:rPr>
        <w:t>99.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99</w:t>
      </w:r>
      <w:r>
        <w:rPr>
          <w:rFonts w:ascii="仿宋_GB2312" w:eastAsia="仿宋_GB2312" w:hAnsi="宋体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，资金使用按照拨付进度完成年度目标值。</w:t>
      </w:r>
    </w:p>
    <w:p w:rsidR="0033076F" w:rsidRDefault="00142061">
      <w:pPr>
        <w:pStyle w:val="2"/>
        <w:spacing w:line="240" w:lineRule="auto"/>
        <w:ind w:firstLineChars="0"/>
        <w:rPr>
          <w:rFonts w:hAnsi="宋体"/>
          <w:b w:val="0"/>
          <w:color w:val="000000"/>
          <w:kern w:val="0"/>
          <w:sz w:val="32"/>
          <w:szCs w:val="32"/>
        </w:rPr>
      </w:pPr>
      <w:r>
        <w:rPr>
          <w:rFonts w:hAnsi="宋体" w:hint="eastAsia"/>
          <w:b w:val="0"/>
          <w:color w:val="000000"/>
          <w:kern w:val="0"/>
          <w:sz w:val="32"/>
          <w:szCs w:val="32"/>
        </w:rPr>
        <w:t>（2）项目完成质量</w:t>
      </w:r>
    </w:p>
    <w:p w:rsidR="0033076F" w:rsidRDefault="0014206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该项目全年实际完成值与年度指标值一致，举办的各类大型活动如“2019年海口市春节团拜会演出活动”、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“唱响新时代走进海口节目”活动、“抖出海口最美时光2019年海口市抖音挑战赛活动”、《歌唱祖国·一首歌一座城》音乐作品拍摄活动等都取得了不错的社会反响，项目完成质量通过了各有关部门的验收，</w:t>
      </w:r>
      <w:r>
        <w:rPr>
          <w:rFonts w:ascii="仿宋_GB2312" w:eastAsia="仿宋_GB2312" w:hint="eastAsia"/>
          <w:sz w:val="32"/>
          <w:szCs w:val="32"/>
        </w:rPr>
        <w:t>较好的完成了预期目标。</w:t>
      </w:r>
    </w:p>
    <w:p w:rsidR="0033076F" w:rsidRDefault="00142061">
      <w:pPr>
        <w:pStyle w:val="2"/>
        <w:spacing w:line="240" w:lineRule="auto"/>
        <w:ind w:firstLineChars="0"/>
        <w:rPr>
          <w:rFonts w:hAnsi="宋体"/>
          <w:b w:val="0"/>
          <w:color w:val="000000"/>
          <w:kern w:val="0"/>
          <w:sz w:val="32"/>
          <w:szCs w:val="32"/>
        </w:rPr>
      </w:pPr>
      <w:r>
        <w:rPr>
          <w:rFonts w:hAnsi="宋体" w:hint="eastAsia"/>
          <w:b w:val="0"/>
          <w:color w:val="000000"/>
          <w:kern w:val="0"/>
          <w:sz w:val="32"/>
          <w:szCs w:val="32"/>
        </w:rPr>
        <w:t>3.项目的效益性分析</w:t>
      </w:r>
    </w:p>
    <w:p w:rsidR="0033076F" w:rsidRDefault="001420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（1）项目预期目标完成程度</w:t>
      </w:r>
    </w:p>
    <w:p w:rsidR="0033076F" w:rsidRDefault="001420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该项目年初设定目标为海口城市形象宣传，将海口城市形象推向世界，让全世界了解海口、赞美海口，助力国际旅游岛建设。2019年度，</w:t>
      </w:r>
      <w:r>
        <w:rPr>
          <w:rFonts w:ascii="仿宋_GB2312" w:eastAsia="仿宋_GB2312" w:hAnsi="仿宋_GB2312" w:cs="仿宋_GB2312" w:hint="eastAsia"/>
          <w:sz w:val="32"/>
          <w:szCs w:val="32"/>
        </w:rPr>
        <w:t>市委宣传部围绕市委、市政府的中心工作，组织省、市媒体开展重大主题宣传，与新华通讯社新闻信息中心、中国传媒大学、人民日报传媒广告有限公司海南分公司都签订了合作协议，协助驻琼主流媒体开展正面宣传，举办新闻发布会，组织开展城市形象宣传活动， 利用道旗、公交车广告亭、建筑围挡等发展重大活动公益广告标语、画面，采用舆情监控智能系统，全方位、不间断搜集网络上涉及海口的各类舆情</w:t>
      </w:r>
      <w:r>
        <w:rPr>
          <w:rFonts w:ascii="仿宋_GB2312" w:eastAsia="仿宋_GB2312" w:hint="eastAsia"/>
          <w:sz w:val="32"/>
          <w:szCs w:val="32"/>
        </w:rPr>
        <w:t>，正面、充分的对海口城市形象进行了大力宣传。</w:t>
      </w:r>
    </w:p>
    <w:p w:rsidR="0033076F" w:rsidRDefault="0014206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（2）项目实施对经济和社会的影响</w:t>
      </w:r>
    </w:p>
    <w:p w:rsidR="0033076F" w:rsidRDefault="0014206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通过举办“E起网前飞，共圆小康梦—2019年湖南网络扶贫春节联欢晚会”活动，对近一年来扶贫工作的成绩做了大力的宣传，也展现了海口经济社会发展的成就。</w:t>
      </w:r>
    </w:p>
    <w:p w:rsidR="0033076F" w:rsidRDefault="00142061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《歌唱祖国·一首歌一座城》是由国家广播电视总局、中央广播电视总台主办，IPTV总平台、海南IPTV等全国各省市分平台共同实施的大型音乐文化全媒体活动，海口市报送的音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lastRenderedPageBreak/>
        <w:t>乐故事《久久不见久久见》向全国观众展示了海口市的民俗风情、人文情况、建设发展情况以及海南自由贸易港建设，展现了“美好新海南”的精神风貌。</w:t>
      </w:r>
    </w:p>
    <w:p w:rsidR="0033076F" w:rsidRDefault="00142061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通过举办“抖出海口最美时光2019年海口市抖音挑战赛活动”，拍摄海口特色短视频，在这个自媒体发达的时代，利用网络的力量对海口城市形象进行网络覆盖性的推广。</w:t>
      </w:r>
    </w:p>
    <w:p w:rsidR="0033076F" w:rsidRDefault="0014206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通过与新华通讯社新闻信息中心合作，利用新华社客户端、新华社社办报刊及海外主流媒体、网络媒体等资源，为海口城市形象进行积极推广。</w:t>
      </w:r>
    </w:p>
    <w:p w:rsidR="0033076F" w:rsidRDefault="0014206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通过与</w:t>
      </w:r>
      <w:r>
        <w:rPr>
          <w:rFonts w:ascii="仿宋_GB2312" w:eastAsia="仿宋_GB2312" w:hAnsi="仿宋_GB2312" w:cs="仿宋_GB2312" w:hint="eastAsia"/>
          <w:sz w:val="32"/>
          <w:szCs w:val="32"/>
        </w:rPr>
        <w:t>人民日报传媒广告有限公司海南分公司合作，在人民日报刊登整版全国彩色广告，在人民网首页推送文字链接，增加了海口市在全国的知名度及曝光率。</w:t>
      </w:r>
    </w:p>
    <w:p w:rsidR="0033076F" w:rsidRDefault="0014206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通过制作2019年博鳌亚洲论坛年会道旗广告牌，在海口市国学大道、滨海大道、以及龙昆南及延长线进行投放，提高海口知名度和影响力。</w:t>
      </w:r>
    </w:p>
    <w:p w:rsidR="0033076F" w:rsidRDefault="0014206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通过举办“2019海口马拉松赛事”活动，吸引了大量岛外人士和外籍人员，</w:t>
      </w:r>
      <w:r>
        <w:rPr>
          <w:rFonts w:ascii="仿宋_GB2312" w:eastAsia="仿宋_GB2312"/>
          <w:sz w:val="32"/>
          <w:szCs w:val="32"/>
        </w:rPr>
        <w:t>2019海口马拉松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经典赛道，穿越海口最美丽的自然风景线，途径凤翔湿地公园、椰海大道、滨江路、白沙门公园、世纪大桥、万绿园、国家帆船帆板基地、西秀海滩、海南国际会展中心等海口重点区域景观，</w:t>
      </w:r>
      <w:r>
        <w:rPr>
          <w:rFonts w:ascii="仿宋_GB2312" w:eastAsia="仿宋_GB2312" w:hint="eastAsia"/>
          <w:sz w:val="32"/>
          <w:szCs w:val="32"/>
        </w:rPr>
        <w:t>将海口</w:t>
      </w:r>
      <w:r>
        <w:rPr>
          <w:rFonts w:ascii="仿宋_GB2312" w:eastAsia="仿宋_GB2312"/>
          <w:sz w:val="32"/>
          <w:szCs w:val="32"/>
        </w:rPr>
        <w:t>优美的地理条件和独特人文环境优势</w:t>
      </w:r>
      <w:r>
        <w:rPr>
          <w:rFonts w:ascii="仿宋_GB2312" w:eastAsia="仿宋_GB2312" w:hint="eastAsia"/>
          <w:sz w:val="32"/>
          <w:szCs w:val="32"/>
        </w:rPr>
        <w:t>展现得淋漓尽致。</w:t>
      </w:r>
    </w:p>
    <w:p w:rsidR="0033076F" w:rsidRDefault="00142061">
      <w:pPr>
        <w:pStyle w:val="2"/>
        <w:spacing w:line="240" w:lineRule="auto"/>
        <w:ind w:firstLineChars="0"/>
        <w:rPr>
          <w:rFonts w:hAnsi="宋体"/>
          <w:b w:val="0"/>
          <w:color w:val="000000"/>
          <w:kern w:val="0"/>
          <w:sz w:val="32"/>
          <w:szCs w:val="32"/>
        </w:rPr>
      </w:pPr>
      <w:r>
        <w:rPr>
          <w:rFonts w:hAnsi="宋体" w:hint="eastAsia"/>
          <w:b w:val="0"/>
          <w:color w:val="000000"/>
          <w:kern w:val="0"/>
          <w:sz w:val="32"/>
          <w:szCs w:val="32"/>
        </w:rPr>
        <w:t>4.项目的可持续性分析</w:t>
      </w:r>
    </w:p>
    <w:p w:rsidR="0033076F" w:rsidRDefault="00142061">
      <w:pPr>
        <w:pStyle w:val="2"/>
        <w:spacing w:line="240" w:lineRule="auto"/>
        <w:ind w:firstLineChars="0"/>
        <w:rPr>
          <w:rFonts w:hAnsi="宋体"/>
          <w:b w:val="0"/>
          <w:color w:val="000000"/>
          <w:kern w:val="0"/>
          <w:sz w:val="32"/>
          <w:szCs w:val="32"/>
        </w:rPr>
      </w:pPr>
      <w:r>
        <w:rPr>
          <w:rFonts w:hAnsi="宋体" w:hint="eastAsia"/>
          <w:b w:val="0"/>
          <w:color w:val="000000"/>
          <w:kern w:val="0"/>
          <w:sz w:val="32"/>
          <w:szCs w:val="32"/>
        </w:rPr>
        <w:t>近年来，海口市举办的各类大型文化活动越来越丰富，这得益于市委、市政府的正确领导以及市财政局的大力支持，特</w:t>
      </w:r>
      <w:r>
        <w:rPr>
          <w:rFonts w:hAnsi="宋体" w:hint="eastAsia"/>
          <w:b w:val="0"/>
          <w:color w:val="000000"/>
          <w:kern w:val="0"/>
          <w:sz w:val="32"/>
          <w:szCs w:val="32"/>
        </w:rPr>
        <w:lastRenderedPageBreak/>
        <w:t>别是海南省建省30周年大会上，党中央决定支持海南全岛建设</w:t>
      </w:r>
      <w:r>
        <w:rPr>
          <w:rFonts w:hAnsi="宋体"/>
          <w:b w:val="0"/>
          <w:color w:val="000000"/>
          <w:kern w:val="0"/>
          <w:sz w:val="32"/>
          <w:szCs w:val="32"/>
        </w:rPr>
        <w:t>自由贸易试验区</w:t>
      </w:r>
      <w:r>
        <w:rPr>
          <w:rFonts w:hAnsi="宋体" w:hint="eastAsia"/>
          <w:b w:val="0"/>
          <w:color w:val="000000"/>
          <w:kern w:val="0"/>
          <w:sz w:val="32"/>
          <w:szCs w:val="32"/>
        </w:rPr>
        <w:t>，为海南的发展提供了一个很好的契机，这就需要市委宣传部利用一切可以利用的资源和力量，大力宣传海口城市形象，把这座美丽的城市推向世界舞台，充分挖掘出这座城市的无限潜力。同时，也需要市委宣传部继续完善项目实施的各项政策及管理制度的制定，确保项目资金的合理分配，合理安排好项目管理人员，明确相关机构职责，为项目持续发展提供保障。</w:t>
      </w:r>
    </w:p>
    <w:p w:rsidR="0033076F" w:rsidRDefault="00142061">
      <w:pPr>
        <w:pStyle w:val="2"/>
        <w:spacing w:line="240" w:lineRule="auto"/>
        <w:ind w:firstLineChars="0"/>
        <w:rPr>
          <w:rFonts w:ascii="黑体" w:eastAsia="黑体" w:hAnsi="黑体" w:cs="黑体"/>
          <w:b w:val="0"/>
          <w:bCs/>
          <w:sz w:val="32"/>
          <w:szCs w:val="32"/>
        </w:rPr>
      </w:pPr>
      <w:r>
        <w:rPr>
          <w:rFonts w:ascii="黑体" w:eastAsia="黑体" w:hAnsi="黑体" w:cs="黑体" w:hint="eastAsia"/>
          <w:b w:val="0"/>
          <w:bCs/>
          <w:sz w:val="32"/>
          <w:szCs w:val="32"/>
        </w:rPr>
        <w:t>五、综合评价情况及评价结论</w:t>
      </w:r>
    </w:p>
    <w:p w:rsidR="0033076F" w:rsidRDefault="00142061">
      <w:pPr>
        <w:pStyle w:val="2"/>
        <w:spacing w:line="240" w:lineRule="auto"/>
        <w:ind w:firstLineChars="0"/>
        <w:rPr>
          <w:rFonts w:hAnsi="宋体"/>
          <w:b w:val="0"/>
          <w:color w:val="000000"/>
          <w:kern w:val="0"/>
          <w:sz w:val="32"/>
          <w:szCs w:val="32"/>
        </w:rPr>
      </w:pPr>
      <w:r>
        <w:rPr>
          <w:rFonts w:hAnsi="宋体" w:hint="eastAsia"/>
          <w:b w:val="0"/>
          <w:color w:val="000000"/>
          <w:kern w:val="0"/>
          <w:sz w:val="32"/>
          <w:szCs w:val="32"/>
        </w:rPr>
        <w:t>市委宣传部该项目的实施严格按照预算执行，在预算年度优质完成工作任务，在整体控制上达到预期效果。</w:t>
      </w:r>
    </w:p>
    <w:p w:rsidR="0033076F" w:rsidRDefault="00142061">
      <w:pPr>
        <w:spacing w:line="360" w:lineRule="auto"/>
        <w:ind w:firstLineChars="200" w:firstLine="640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六、主要经验及做法、存在的问题与建议</w:t>
      </w:r>
    </w:p>
    <w:p w:rsidR="0033076F" w:rsidRDefault="00142061">
      <w:pPr>
        <w:spacing w:line="360" w:lineRule="auto"/>
        <w:ind w:firstLineChars="200" w:firstLine="643"/>
        <w:outlineLvl w:val="0"/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（一）主要经验及做法</w:t>
      </w:r>
    </w:p>
    <w:p w:rsidR="0033076F" w:rsidRDefault="00142061">
      <w:pPr>
        <w:spacing w:line="360" w:lineRule="auto"/>
        <w:ind w:firstLineChars="200" w:firstLine="640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1.项目在编制预算时，严格按照《预算法》的规定程序进行编制</w:t>
      </w:r>
      <w:r w:rsidR="00E64707">
        <w:rPr>
          <w:rFonts w:ascii="仿宋_GB2312" w:eastAsia="仿宋_GB2312" w:hAnsi="仿宋" w:hint="eastAsia"/>
          <w:sz w:val="32"/>
          <w:szCs w:val="32"/>
        </w:rPr>
        <w:t>。</w:t>
      </w:r>
    </w:p>
    <w:p w:rsidR="0033076F" w:rsidRDefault="00142061">
      <w:pPr>
        <w:spacing w:line="360" w:lineRule="auto"/>
        <w:ind w:firstLineChars="200" w:firstLine="640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2.项目的设立符合海口市委宣传部的部门职责要求，符合经济社会发展规划和部门年度工作计划。</w:t>
      </w:r>
    </w:p>
    <w:p w:rsidR="0033076F" w:rsidRDefault="00142061">
      <w:pPr>
        <w:spacing w:line="360" w:lineRule="auto"/>
        <w:ind w:firstLineChars="200" w:firstLine="640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3.项目的实施很好的向社会大众展示了海口的民俗文化以及城市形象，为海口高质量发展提供了有力思想保证，为加快推进海南自贸试验区和自贸港建设营造良好氛围、凝聚磅礴力量。</w:t>
      </w:r>
    </w:p>
    <w:p w:rsidR="0033076F" w:rsidRDefault="00142061">
      <w:pPr>
        <w:spacing w:line="360" w:lineRule="auto"/>
        <w:ind w:firstLineChars="200" w:firstLine="643"/>
        <w:outlineLvl w:val="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（二）存在的问题</w:t>
      </w:r>
    </w:p>
    <w:p w:rsidR="0033076F" w:rsidRDefault="00142061">
      <w:pPr>
        <w:spacing w:line="360" w:lineRule="auto"/>
        <w:ind w:firstLineChars="200" w:firstLine="640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1.该项目涉及内容较广泛，包含媒体宣传、举办发布会、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广告宣传、网络媒体宣传，等等，但市委宣传部未单独制定项目资金管理制度，实际操作中，项目资金的使用系按照《中共海口市委宣传部财务管理制度（试行）》（海宣通[2018]66号）文件精神执行。</w:t>
      </w:r>
    </w:p>
    <w:p w:rsidR="0033076F" w:rsidRDefault="00142061">
      <w:pPr>
        <w:spacing w:line="360" w:lineRule="auto"/>
        <w:ind w:firstLineChars="200" w:firstLine="640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2.未制定项目管理制度，项目实施参照</w:t>
      </w:r>
      <w:r w:rsidRPr="0054502B">
        <w:rPr>
          <w:rFonts w:ascii="仿宋_GB2312" w:eastAsia="仿宋_GB2312" w:hAnsi="仿宋" w:hint="eastAsia"/>
          <w:sz w:val="32"/>
          <w:szCs w:val="32"/>
        </w:rPr>
        <w:t>海口市各项管理规定并结合</w:t>
      </w:r>
      <w:r>
        <w:rPr>
          <w:rFonts w:ascii="仿宋_GB2312" w:eastAsia="仿宋_GB2312" w:hAnsi="仿宋" w:hint="eastAsia"/>
          <w:sz w:val="32"/>
          <w:szCs w:val="32"/>
        </w:rPr>
        <w:t>市委宣传部的内部管理制度进行管理。</w:t>
      </w:r>
    </w:p>
    <w:p w:rsidR="0033076F" w:rsidRDefault="00894C2B">
      <w:pPr>
        <w:spacing w:line="360" w:lineRule="auto"/>
        <w:ind w:firstLineChars="200" w:firstLine="640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142061">
        <w:rPr>
          <w:rFonts w:ascii="仿宋_GB2312" w:eastAsia="仿宋_GB2312" w:hAnsi="仿宋" w:hint="eastAsia"/>
          <w:sz w:val="32"/>
          <w:szCs w:val="32"/>
        </w:rPr>
        <w:t>.项目大多局限于国内宣传，在国际上对海口城市形象的宣传力度不够。</w:t>
      </w:r>
    </w:p>
    <w:p w:rsidR="0033076F" w:rsidRDefault="00142061">
      <w:pPr>
        <w:spacing w:line="360" w:lineRule="auto"/>
        <w:ind w:leftChars="200" w:left="420"/>
        <w:outlineLvl w:val="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（三）建议</w:t>
      </w:r>
    </w:p>
    <w:p w:rsidR="0033076F" w:rsidRDefault="00142061">
      <w:pPr>
        <w:spacing w:line="360" w:lineRule="auto"/>
        <w:ind w:firstLineChars="200" w:firstLine="640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1.建议市委宣传部根据项目具体情况制定项目资金管理制度，加强项目资金的规范化管理。</w:t>
      </w:r>
      <w:bookmarkStart w:id="0" w:name="_GoBack"/>
      <w:bookmarkEnd w:id="0"/>
    </w:p>
    <w:p w:rsidR="0033076F" w:rsidRDefault="00894C2B">
      <w:pPr>
        <w:spacing w:line="360" w:lineRule="auto"/>
        <w:ind w:firstLineChars="200" w:firstLine="640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142061">
        <w:rPr>
          <w:rFonts w:ascii="仿宋_GB2312" w:eastAsia="仿宋_GB2312" w:hAnsi="仿宋" w:hint="eastAsia"/>
          <w:sz w:val="32"/>
          <w:szCs w:val="32"/>
        </w:rPr>
        <w:t>.建议进一步加强海口城市形象宣传，提升国际知名度，充分发挥海南自贸试验区和自贸港的政策优势，吸引全球知名企业和精英人士入驻海口。</w:t>
      </w:r>
    </w:p>
    <w:sectPr w:rsidR="0033076F" w:rsidSect="0033076F">
      <w:footerReference w:type="even" r:id="rId9"/>
      <w:footerReference w:type="default" r:id="rId10"/>
      <w:pgSz w:w="11906" w:h="16838"/>
      <w:pgMar w:top="1418" w:right="1588" w:bottom="1361" w:left="1814" w:header="851" w:footer="992" w:gutter="0"/>
      <w:pgNumType w:fmt="numberInDash"/>
      <w:cols w:space="720"/>
      <w:docGrid w:type="lines" w:linePitch="3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759" w:rsidRDefault="006C7759" w:rsidP="0033076F">
      <w:pPr>
        <w:rPr>
          <w:rFonts w:hint="eastAsia"/>
        </w:rPr>
      </w:pPr>
      <w:r>
        <w:separator/>
      </w:r>
    </w:p>
  </w:endnote>
  <w:endnote w:type="continuationSeparator" w:id="1">
    <w:p w:rsidR="006C7759" w:rsidRDefault="006C7759" w:rsidP="003307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6F" w:rsidRDefault="009453EE">
    <w:pPr>
      <w:pStyle w:val="a4"/>
      <w:framePr w:wrap="around" w:vAnchor="text" w:hAnchor="margin" w:xAlign="outside" w:y="1"/>
      <w:rPr>
        <w:rStyle w:val="a7"/>
        <w:rFonts w:hint="eastAsia"/>
      </w:rPr>
    </w:pPr>
    <w:r>
      <w:fldChar w:fldCharType="begin"/>
    </w:r>
    <w:r w:rsidR="00142061">
      <w:rPr>
        <w:rStyle w:val="a7"/>
      </w:rPr>
      <w:instrText xml:space="preserve">PAGE  </w:instrText>
    </w:r>
    <w:r>
      <w:fldChar w:fldCharType="separate"/>
    </w:r>
    <w:r w:rsidR="00142061">
      <w:rPr>
        <w:rStyle w:val="a7"/>
      </w:rPr>
      <w:t>- 5 -</w:t>
    </w:r>
    <w:r>
      <w:fldChar w:fldCharType="end"/>
    </w:r>
  </w:p>
  <w:p w:rsidR="0033076F" w:rsidRDefault="0033076F">
    <w:pPr>
      <w:pStyle w:val="a4"/>
      <w:ind w:right="360"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6F" w:rsidRDefault="009453EE">
    <w:pPr>
      <w:pStyle w:val="a4"/>
      <w:ind w:right="360" w:firstLine="360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eAAekhoCAAAhBAAADgAA&#10;AAAAAAABACAAAAAfAQAAZHJzL2Uyb0RvYy54bWxQSwUGAAAAAAYABgBZAQAAqwUAAAAA&#10;" filled="f" stroked="f" strokeweight=".5pt">
          <v:textbox style="mso-fit-shape-to-text:t" inset="0,0,0,0">
            <w:txbxContent>
              <w:p w:rsidR="0033076F" w:rsidRDefault="009453EE">
                <w:pPr>
                  <w:pStyle w:val="a4"/>
                  <w:rPr>
                    <w:rStyle w:val="a7"/>
                    <w:rFonts w:asciiTheme="minorEastAsia" w:hAnsiTheme="minorEastAsia" w:cstheme="minorEastAsia"/>
                    <w:sz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0"/>
                    <w:szCs w:val="20"/>
                  </w:rPr>
                  <w:fldChar w:fldCharType="begin"/>
                </w:r>
                <w:r w:rsidR="00142061">
                  <w:rPr>
                    <w:rStyle w:val="a7"/>
                    <w:rFonts w:asciiTheme="minorEastAsia" w:hAnsiTheme="minorEastAsia" w:cstheme="minorEastAsia" w:hint="eastAsia"/>
                    <w:sz w:val="20"/>
                    <w:szCs w:val="20"/>
                  </w:rPr>
                  <w:instrText xml:space="preserve">PAGE  </w:instrText>
                </w:r>
                <w:r>
                  <w:rPr>
                    <w:rFonts w:asciiTheme="minorEastAsia" w:hAnsiTheme="minorEastAsia" w:cstheme="minorEastAsia" w:hint="eastAsia"/>
                    <w:sz w:val="20"/>
                    <w:szCs w:val="20"/>
                  </w:rPr>
                  <w:fldChar w:fldCharType="separate"/>
                </w:r>
                <w:r w:rsidR="008B038F">
                  <w:rPr>
                    <w:rStyle w:val="a7"/>
                    <w:rFonts w:asciiTheme="minorEastAsia" w:hAnsiTheme="minorEastAsia" w:cstheme="minorEastAsia"/>
                    <w:noProof/>
                    <w:sz w:val="20"/>
                    <w:szCs w:val="20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759" w:rsidRDefault="006C7759" w:rsidP="0033076F">
      <w:pPr>
        <w:rPr>
          <w:rFonts w:hint="eastAsia"/>
        </w:rPr>
      </w:pPr>
      <w:r>
        <w:separator/>
      </w:r>
    </w:p>
  </w:footnote>
  <w:footnote w:type="continuationSeparator" w:id="1">
    <w:p w:rsidR="006C7759" w:rsidRDefault="006C7759" w:rsidP="0033076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DA1F06"/>
    <w:rsid w:val="00002EDD"/>
    <w:rsid w:val="00005F8B"/>
    <w:rsid w:val="00013485"/>
    <w:rsid w:val="00016A0A"/>
    <w:rsid w:val="000238A4"/>
    <w:rsid w:val="00036763"/>
    <w:rsid w:val="000451E7"/>
    <w:rsid w:val="00045C91"/>
    <w:rsid w:val="00053636"/>
    <w:rsid w:val="00063629"/>
    <w:rsid w:val="000651B6"/>
    <w:rsid w:val="00077824"/>
    <w:rsid w:val="00087721"/>
    <w:rsid w:val="0009211E"/>
    <w:rsid w:val="00092D62"/>
    <w:rsid w:val="00094DB1"/>
    <w:rsid w:val="000C077F"/>
    <w:rsid w:val="000C3DE7"/>
    <w:rsid w:val="000E050A"/>
    <w:rsid w:val="000E5A0F"/>
    <w:rsid w:val="000F26CC"/>
    <w:rsid w:val="0011113F"/>
    <w:rsid w:val="00114813"/>
    <w:rsid w:val="00115D7A"/>
    <w:rsid w:val="00117840"/>
    <w:rsid w:val="001228A6"/>
    <w:rsid w:val="00142061"/>
    <w:rsid w:val="00154730"/>
    <w:rsid w:val="00156D2C"/>
    <w:rsid w:val="00195617"/>
    <w:rsid w:val="001B0A87"/>
    <w:rsid w:val="001C220B"/>
    <w:rsid w:val="001C406A"/>
    <w:rsid w:val="001C5E92"/>
    <w:rsid w:val="001D2C5F"/>
    <w:rsid w:val="001D5680"/>
    <w:rsid w:val="001F6D77"/>
    <w:rsid w:val="0020489C"/>
    <w:rsid w:val="00233112"/>
    <w:rsid w:val="002407C7"/>
    <w:rsid w:val="00252766"/>
    <w:rsid w:val="00284B30"/>
    <w:rsid w:val="00292033"/>
    <w:rsid w:val="002A0E4A"/>
    <w:rsid w:val="002A3F31"/>
    <w:rsid w:val="002B2DA7"/>
    <w:rsid w:val="002B3453"/>
    <w:rsid w:val="002B3C2A"/>
    <w:rsid w:val="002C33E8"/>
    <w:rsid w:val="002C619D"/>
    <w:rsid w:val="002D7F9B"/>
    <w:rsid w:val="002E4801"/>
    <w:rsid w:val="002E7CDA"/>
    <w:rsid w:val="003020B2"/>
    <w:rsid w:val="003020EA"/>
    <w:rsid w:val="003032AD"/>
    <w:rsid w:val="00307597"/>
    <w:rsid w:val="00320F19"/>
    <w:rsid w:val="0032275A"/>
    <w:rsid w:val="00327809"/>
    <w:rsid w:val="0033076F"/>
    <w:rsid w:val="003363B3"/>
    <w:rsid w:val="00342F5B"/>
    <w:rsid w:val="00350351"/>
    <w:rsid w:val="00352992"/>
    <w:rsid w:val="0035458D"/>
    <w:rsid w:val="003660AB"/>
    <w:rsid w:val="00367E6D"/>
    <w:rsid w:val="0038283A"/>
    <w:rsid w:val="003A0EF6"/>
    <w:rsid w:val="003B5202"/>
    <w:rsid w:val="003B5A68"/>
    <w:rsid w:val="003B732D"/>
    <w:rsid w:val="003C4CDE"/>
    <w:rsid w:val="003E735E"/>
    <w:rsid w:val="003F2528"/>
    <w:rsid w:val="003F55B9"/>
    <w:rsid w:val="00422557"/>
    <w:rsid w:val="00423C29"/>
    <w:rsid w:val="0044776A"/>
    <w:rsid w:val="00447D01"/>
    <w:rsid w:val="004544F6"/>
    <w:rsid w:val="00471CE9"/>
    <w:rsid w:val="00476A64"/>
    <w:rsid w:val="00486F15"/>
    <w:rsid w:val="00492DA9"/>
    <w:rsid w:val="004B67B8"/>
    <w:rsid w:val="004E58A0"/>
    <w:rsid w:val="004F27A6"/>
    <w:rsid w:val="004F66C6"/>
    <w:rsid w:val="004F7F8D"/>
    <w:rsid w:val="00506DBC"/>
    <w:rsid w:val="00522F34"/>
    <w:rsid w:val="005251C1"/>
    <w:rsid w:val="00534B0B"/>
    <w:rsid w:val="0054502B"/>
    <w:rsid w:val="005565DD"/>
    <w:rsid w:val="00557EF0"/>
    <w:rsid w:val="00562423"/>
    <w:rsid w:val="00562D22"/>
    <w:rsid w:val="005674B6"/>
    <w:rsid w:val="00571B1B"/>
    <w:rsid w:val="00572FC8"/>
    <w:rsid w:val="0057782D"/>
    <w:rsid w:val="005779B5"/>
    <w:rsid w:val="005A195C"/>
    <w:rsid w:val="005B1F2C"/>
    <w:rsid w:val="005B604E"/>
    <w:rsid w:val="005C1FAB"/>
    <w:rsid w:val="005C7367"/>
    <w:rsid w:val="005D0AF9"/>
    <w:rsid w:val="005D2FCF"/>
    <w:rsid w:val="005E2D14"/>
    <w:rsid w:val="005E6AA1"/>
    <w:rsid w:val="005F4248"/>
    <w:rsid w:val="00602407"/>
    <w:rsid w:val="006052FB"/>
    <w:rsid w:val="006063EC"/>
    <w:rsid w:val="006117BA"/>
    <w:rsid w:val="006350DC"/>
    <w:rsid w:val="00635987"/>
    <w:rsid w:val="006720F5"/>
    <w:rsid w:val="00674704"/>
    <w:rsid w:val="006763A4"/>
    <w:rsid w:val="006800CC"/>
    <w:rsid w:val="006934AA"/>
    <w:rsid w:val="006C7759"/>
    <w:rsid w:val="006D0121"/>
    <w:rsid w:val="006D49AF"/>
    <w:rsid w:val="006E2E89"/>
    <w:rsid w:val="006E3D11"/>
    <w:rsid w:val="006E3F34"/>
    <w:rsid w:val="006F1002"/>
    <w:rsid w:val="00724E99"/>
    <w:rsid w:val="00737EF2"/>
    <w:rsid w:val="0074408D"/>
    <w:rsid w:val="00744C3C"/>
    <w:rsid w:val="0074631F"/>
    <w:rsid w:val="00746B76"/>
    <w:rsid w:val="00752799"/>
    <w:rsid w:val="00762817"/>
    <w:rsid w:val="007836DA"/>
    <w:rsid w:val="00783783"/>
    <w:rsid w:val="00784CC3"/>
    <w:rsid w:val="00790E15"/>
    <w:rsid w:val="00797FE7"/>
    <w:rsid w:val="007A6A80"/>
    <w:rsid w:val="007B2F34"/>
    <w:rsid w:val="007C2E77"/>
    <w:rsid w:val="007C5158"/>
    <w:rsid w:val="007D231D"/>
    <w:rsid w:val="007F1FA0"/>
    <w:rsid w:val="007F74AA"/>
    <w:rsid w:val="00804AD6"/>
    <w:rsid w:val="008102AE"/>
    <w:rsid w:val="008161AB"/>
    <w:rsid w:val="00834C2A"/>
    <w:rsid w:val="00836D79"/>
    <w:rsid w:val="00840ADB"/>
    <w:rsid w:val="00847DFB"/>
    <w:rsid w:val="008520AA"/>
    <w:rsid w:val="0085268E"/>
    <w:rsid w:val="008536F7"/>
    <w:rsid w:val="00862A81"/>
    <w:rsid w:val="00867C5A"/>
    <w:rsid w:val="0087577D"/>
    <w:rsid w:val="0088216C"/>
    <w:rsid w:val="00884AE1"/>
    <w:rsid w:val="00894C2B"/>
    <w:rsid w:val="00895728"/>
    <w:rsid w:val="008A2A56"/>
    <w:rsid w:val="008B038F"/>
    <w:rsid w:val="008B75C1"/>
    <w:rsid w:val="008C314A"/>
    <w:rsid w:val="008D12D8"/>
    <w:rsid w:val="008D4338"/>
    <w:rsid w:val="008E54EA"/>
    <w:rsid w:val="008F04D4"/>
    <w:rsid w:val="009106D1"/>
    <w:rsid w:val="00911D8E"/>
    <w:rsid w:val="0091758E"/>
    <w:rsid w:val="00924862"/>
    <w:rsid w:val="00930D0D"/>
    <w:rsid w:val="00930E7B"/>
    <w:rsid w:val="009453EE"/>
    <w:rsid w:val="00945A2F"/>
    <w:rsid w:val="00950B42"/>
    <w:rsid w:val="009513F9"/>
    <w:rsid w:val="00953CDD"/>
    <w:rsid w:val="00973B9A"/>
    <w:rsid w:val="00991B02"/>
    <w:rsid w:val="00994E33"/>
    <w:rsid w:val="009A0573"/>
    <w:rsid w:val="009A5715"/>
    <w:rsid w:val="009A7B0B"/>
    <w:rsid w:val="009B16F4"/>
    <w:rsid w:val="009B5445"/>
    <w:rsid w:val="009C0AC1"/>
    <w:rsid w:val="009C17A0"/>
    <w:rsid w:val="009C68DB"/>
    <w:rsid w:val="009E2043"/>
    <w:rsid w:val="009E4923"/>
    <w:rsid w:val="009F10EA"/>
    <w:rsid w:val="009F226F"/>
    <w:rsid w:val="00A02EA4"/>
    <w:rsid w:val="00A23C65"/>
    <w:rsid w:val="00A35189"/>
    <w:rsid w:val="00A3720B"/>
    <w:rsid w:val="00A852EE"/>
    <w:rsid w:val="00A8628F"/>
    <w:rsid w:val="00A935AB"/>
    <w:rsid w:val="00A93878"/>
    <w:rsid w:val="00AB2D66"/>
    <w:rsid w:val="00AB685E"/>
    <w:rsid w:val="00AC6A25"/>
    <w:rsid w:val="00AD7A6B"/>
    <w:rsid w:val="00AE69AB"/>
    <w:rsid w:val="00AF4A21"/>
    <w:rsid w:val="00B13AFA"/>
    <w:rsid w:val="00B14184"/>
    <w:rsid w:val="00B16E6F"/>
    <w:rsid w:val="00B37144"/>
    <w:rsid w:val="00B40D5F"/>
    <w:rsid w:val="00B47626"/>
    <w:rsid w:val="00B55632"/>
    <w:rsid w:val="00B55CEA"/>
    <w:rsid w:val="00B63E12"/>
    <w:rsid w:val="00B66103"/>
    <w:rsid w:val="00B67C63"/>
    <w:rsid w:val="00B8234D"/>
    <w:rsid w:val="00B877DA"/>
    <w:rsid w:val="00B90B21"/>
    <w:rsid w:val="00B94BAF"/>
    <w:rsid w:val="00BB69BE"/>
    <w:rsid w:val="00BC157E"/>
    <w:rsid w:val="00BC4F5C"/>
    <w:rsid w:val="00BC5AE4"/>
    <w:rsid w:val="00BE0B01"/>
    <w:rsid w:val="00BE203E"/>
    <w:rsid w:val="00BF0282"/>
    <w:rsid w:val="00BF5606"/>
    <w:rsid w:val="00C00F48"/>
    <w:rsid w:val="00C3069D"/>
    <w:rsid w:val="00C71B3F"/>
    <w:rsid w:val="00C74C71"/>
    <w:rsid w:val="00C75A6C"/>
    <w:rsid w:val="00C77DB1"/>
    <w:rsid w:val="00C81142"/>
    <w:rsid w:val="00CA7EE9"/>
    <w:rsid w:val="00CC1329"/>
    <w:rsid w:val="00CD3F75"/>
    <w:rsid w:val="00CF0CD4"/>
    <w:rsid w:val="00CF6537"/>
    <w:rsid w:val="00D0523C"/>
    <w:rsid w:val="00D14F4F"/>
    <w:rsid w:val="00D16AD3"/>
    <w:rsid w:val="00D24E31"/>
    <w:rsid w:val="00D371E6"/>
    <w:rsid w:val="00D60BC2"/>
    <w:rsid w:val="00D6488D"/>
    <w:rsid w:val="00D8488F"/>
    <w:rsid w:val="00DA1F06"/>
    <w:rsid w:val="00DB7B5B"/>
    <w:rsid w:val="00DC6B61"/>
    <w:rsid w:val="00DE1DD4"/>
    <w:rsid w:val="00DE36F5"/>
    <w:rsid w:val="00DE67B3"/>
    <w:rsid w:val="00DF12B3"/>
    <w:rsid w:val="00DF186C"/>
    <w:rsid w:val="00E013F1"/>
    <w:rsid w:val="00E16054"/>
    <w:rsid w:val="00E16A7E"/>
    <w:rsid w:val="00E27F3B"/>
    <w:rsid w:val="00E31A90"/>
    <w:rsid w:val="00E4502A"/>
    <w:rsid w:val="00E46BAC"/>
    <w:rsid w:val="00E5464F"/>
    <w:rsid w:val="00E57FB8"/>
    <w:rsid w:val="00E64707"/>
    <w:rsid w:val="00E709F1"/>
    <w:rsid w:val="00E7559A"/>
    <w:rsid w:val="00E77ADB"/>
    <w:rsid w:val="00EB6F51"/>
    <w:rsid w:val="00EB7D0D"/>
    <w:rsid w:val="00EE2F78"/>
    <w:rsid w:val="00EF3FF8"/>
    <w:rsid w:val="00EF670A"/>
    <w:rsid w:val="00EF717B"/>
    <w:rsid w:val="00F00A07"/>
    <w:rsid w:val="00F021F9"/>
    <w:rsid w:val="00F031B7"/>
    <w:rsid w:val="00F12D97"/>
    <w:rsid w:val="00F14C7D"/>
    <w:rsid w:val="00F16D03"/>
    <w:rsid w:val="00F26E23"/>
    <w:rsid w:val="00F32F9E"/>
    <w:rsid w:val="00F34000"/>
    <w:rsid w:val="00F371B2"/>
    <w:rsid w:val="00F4198B"/>
    <w:rsid w:val="00F4517F"/>
    <w:rsid w:val="00F521F9"/>
    <w:rsid w:val="00F767A4"/>
    <w:rsid w:val="00F777D8"/>
    <w:rsid w:val="00F82661"/>
    <w:rsid w:val="00FD6FB6"/>
    <w:rsid w:val="00FE61F1"/>
    <w:rsid w:val="00FF0626"/>
    <w:rsid w:val="00FF16A5"/>
    <w:rsid w:val="00FF4E06"/>
    <w:rsid w:val="01C57256"/>
    <w:rsid w:val="0687470B"/>
    <w:rsid w:val="07156243"/>
    <w:rsid w:val="07C07B22"/>
    <w:rsid w:val="0870668B"/>
    <w:rsid w:val="08A807F7"/>
    <w:rsid w:val="09AC072A"/>
    <w:rsid w:val="09B91520"/>
    <w:rsid w:val="0A7A1154"/>
    <w:rsid w:val="0A802D9D"/>
    <w:rsid w:val="0E1A203D"/>
    <w:rsid w:val="0ECD39BD"/>
    <w:rsid w:val="0F417E1F"/>
    <w:rsid w:val="0FA12330"/>
    <w:rsid w:val="0FA76C2F"/>
    <w:rsid w:val="10792AEC"/>
    <w:rsid w:val="113B68B5"/>
    <w:rsid w:val="11A86B67"/>
    <w:rsid w:val="11C00192"/>
    <w:rsid w:val="136667F9"/>
    <w:rsid w:val="14833DDA"/>
    <w:rsid w:val="150D05E9"/>
    <w:rsid w:val="16230A1D"/>
    <w:rsid w:val="166416A6"/>
    <w:rsid w:val="19DD5042"/>
    <w:rsid w:val="1A8210E8"/>
    <w:rsid w:val="1C9D0728"/>
    <w:rsid w:val="1D0966BD"/>
    <w:rsid w:val="1D843C98"/>
    <w:rsid w:val="1E871FF2"/>
    <w:rsid w:val="21696D03"/>
    <w:rsid w:val="2178115D"/>
    <w:rsid w:val="21C628F8"/>
    <w:rsid w:val="25DA45BE"/>
    <w:rsid w:val="269F45BF"/>
    <w:rsid w:val="28FB07E9"/>
    <w:rsid w:val="2916418E"/>
    <w:rsid w:val="29787033"/>
    <w:rsid w:val="29E05DCD"/>
    <w:rsid w:val="2A0C6385"/>
    <w:rsid w:val="2ABA3E10"/>
    <w:rsid w:val="2C634002"/>
    <w:rsid w:val="2D9A2E53"/>
    <w:rsid w:val="2DB3624B"/>
    <w:rsid w:val="2F5A35DD"/>
    <w:rsid w:val="30006DA5"/>
    <w:rsid w:val="31F2394E"/>
    <w:rsid w:val="361C69BF"/>
    <w:rsid w:val="36297214"/>
    <w:rsid w:val="367E6603"/>
    <w:rsid w:val="38D35492"/>
    <w:rsid w:val="3B203067"/>
    <w:rsid w:val="3BE7210C"/>
    <w:rsid w:val="3C012F9E"/>
    <w:rsid w:val="3D710C40"/>
    <w:rsid w:val="3DCC7053"/>
    <w:rsid w:val="3DEB7043"/>
    <w:rsid w:val="3EC117E5"/>
    <w:rsid w:val="3EDF2393"/>
    <w:rsid w:val="41293CE7"/>
    <w:rsid w:val="44EC4D76"/>
    <w:rsid w:val="45BA732E"/>
    <w:rsid w:val="479E5ACF"/>
    <w:rsid w:val="4A1A4078"/>
    <w:rsid w:val="4A43474F"/>
    <w:rsid w:val="4D37267E"/>
    <w:rsid w:val="4D374A76"/>
    <w:rsid w:val="4DCA2D00"/>
    <w:rsid w:val="4E8A3E8F"/>
    <w:rsid w:val="503F5057"/>
    <w:rsid w:val="50EC468A"/>
    <w:rsid w:val="52DD723B"/>
    <w:rsid w:val="58B75573"/>
    <w:rsid w:val="5971149C"/>
    <w:rsid w:val="59AE4C46"/>
    <w:rsid w:val="5A545CCD"/>
    <w:rsid w:val="5C597A05"/>
    <w:rsid w:val="5C6A232B"/>
    <w:rsid w:val="5CCF0A70"/>
    <w:rsid w:val="5D2523BF"/>
    <w:rsid w:val="5D990BD9"/>
    <w:rsid w:val="5E354580"/>
    <w:rsid w:val="5FB74AB4"/>
    <w:rsid w:val="6263511A"/>
    <w:rsid w:val="62B30EEE"/>
    <w:rsid w:val="65F06132"/>
    <w:rsid w:val="67AB0740"/>
    <w:rsid w:val="67AD5994"/>
    <w:rsid w:val="6A9962D2"/>
    <w:rsid w:val="6C907F12"/>
    <w:rsid w:val="6D5D0423"/>
    <w:rsid w:val="70B37138"/>
    <w:rsid w:val="72D07A04"/>
    <w:rsid w:val="749B6370"/>
    <w:rsid w:val="750662F5"/>
    <w:rsid w:val="75133CC4"/>
    <w:rsid w:val="754A6867"/>
    <w:rsid w:val="76B9108A"/>
    <w:rsid w:val="770E5B65"/>
    <w:rsid w:val="784015B3"/>
    <w:rsid w:val="79424E16"/>
    <w:rsid w:val="7A5652BA"/>
    <w:rsid w:val="7B0C2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7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3076F"/>
    <w:rPr>
      <w:sz w:val="18"/>
      <w:szCs w:val="18"/>
    </w:rPr>
  </w:style>
  <w:style w:type="paragraph" w:styleId="a4">
    <w:name w:val="footer"/>
    <w:basedOn w:val="a"/>
    <w:qFormat/>
    <w:rsid w:val="00330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3076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3307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33076F"/>
  </w:style>
  <w:style w:type="paragraph" w:customStyle="1" w:styleId="p0">
    <w:name w:val="p0"/>
    <w:basedOn w:val="a"/>
    <w:qFormat/>
    <w:rsid w:val="003307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qFormat/>
    <w:rsid w:val="0033076F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框文本 Char"/>
    <w:basedOn w:val="a0"/>
    <w:link w:val="a3"/>
    <w:qFormat/>
    <w:rsid w:val="0033076F"/>
    <w:rPr>
      <w:kern w:val="2"/>
      <w:sz w:val="18"/>
      <w:szCs w:val="18"/>
    </w:rPr>
  </w:style>
  <w:style w:type="paragraph" w:customStyle="1" w:styleId="2">
    <w:name w:val="样式2"/>
    <w:basedOn w:val="10"/>
    <w:qFormat/>
    <w:rsid w:val="0033076F"/>
  </w:style>
  <w:style w:type="paragraph" w:customStyle="1" w:styleId="10">
    <w:name w:val="样式1"/>
    <w:basedOn w:val="a"/>
    <w:qFormat/>
    <w:rsid w:val="0033076F"/>
    <w:pPr>
      <w:spacing w:line="360" w:lineRule="auto"/>
      <w:ind w:firstLineChars="200" w:firstLine="562"/>
      <w:outlineLvl w:val="0"/>
    </w:pPr>
    <w:rPr>
      <w:rFonts w:ascii="仿宋_GB2312" w:eastAsia="仿宋_GB2312" w:hAnsi="仿宋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250C9A5-3F9B-445C-AA51-3EBFAC0216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1077</Words>
  <Characters>6139</Characters>
  <Application>Microsoft Office Word</Application>
  <DocSecurity>0</DocSecurity>
  <Lines>51</Lines>
  <Paragraphs>14</Paragraphs>
  <ScaleCrop>false</ScaleCrop>
  <Company>微软中国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wzs</dc:creator>
  <cp:lastModifiedBy>微软用户</cp:lastModifiedBy>
  <cp:revision>233</cp:revision>
  <cp:lastPrinted>2019-08-22T02:56:00Z</cp:lastPrinted>
  <dcterms:created xsi:type="dcterms:W3CDTF">2014-10-29T12:08:00Z</dcterms:created>
  <dcterms:modified xsi:type="dcterms:W3CDTF">2020-04-23T08:27:00Z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