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sz w:val="84"/>
          <w:szCs w:val="84"/>
          <w:u w:val="single"/>
        </w:rPr>
      </w:pPr>
    </w:p>
    <w:p>
      <w:pPr>
        <w:spacing w:line="600" w:lineRule="exact"/>
        <w:rPr>
          <w:sz w:val="84"/>
          <w:szCs w:val="84"/>
          <w:u w:val="single"/>
        </w:rPr>
      </w:pPr>
    </w:p>
    <w:p>
      <w:pPr>
        <w:spacing w:line="600" w:lineRule="exact"/>
        <w:rPr>
          <w:sz w:val="84"/>
          <w:szCs w:val="84"/>
          <w:u w:val="single"/>
        </w:rPr>
      </w:pPr>
    </w:p>
    <w:p>
      <w:pPr>
        <w:spacing w:line="600" w:lineRule="exact"/>
        <w:rPr>
          <w:sz w:val="84"/>
          <w:szCs w:val="84"/>
          <w:u w:val="single"/>
        </w:rPr>
      </w:pPr>
    </w:p>
    <w:p>
      <w:pPr>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52"/>
          <w:szCs w:val="52"/>
          <w:lang w:val="en-US" w:eastAsia="zh-CN"/>
        </w:rPr>
        <w:t>2024</w:t>
      </w:r>
      <w:r>
        <w:rPr>
          <w:rFonts w:hint="eastAsia" w:asciiTheme="majorEastAsia" w:hAnsiTheme="majorEastAsia" w:eastAsiaTheme="majorEastAsia" w:cstheme="majorEastAsia"/>
          <w:sz w:val="52"/>
          <w:szCs w:val="52"/>
        </w:rPr>
        <w:t>年</w:t>
      </w:r>
      <w:r>
        <w:rPr>
          <w:rFonts w:hint="eastAsia" w:asciiTheme="majorEastAsia" w:hAnsiTheme="majorEastAsia" w:eastAsiaTheme="majorEastAsia" w:cstheme="majorEastAsia"/>
          <w:sz w:val="52"/>
          <w:szCs w:val="52"/>
          <w:lang w:val="en-US" w:eastAsia="zh-CN"/>
        </w:rPr>
        <w:t>海口市金融管理局</w:t>
      </w:r>
      <w:r>
        <w:rPr>
          <w:rFonts w:hint="eastAsia" w:asciiTheme="majorEastAsia" w:hAnsiTheme="majorEastAsia" w:eastAsiaTheme="majorEastAsia" w:cstheme="majorEastAsia"/>
          <w:sz w:val="52"/>
          <w:szCs w:val="52"/>
        </w:rPr>
        <w:t>部门预算</w:t>
      </w: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ind w:firstLine="1680"/>
        <w:jc w:val="center"/>
        <w:rPr>
          <w:sz w:val="84"/>
          <w:szCs w:val="84"/>
        </w:rPr>
      </w:pPr>
    </w:p>
    <w:p>
      <w:pPr>
        <w:spacing w:line="600" w:lineRule="exact"/>
        <w:jc w:val="both"/>
        <w:rPr>
          <w:rFonts w:hint="eastAsia" w:ascii="黑体" w:hAnsi="黑体" w:eastAsia="黑体"/>
          <w:sz w:val="52"/>
          <w:szCs w:val="52"/>
        </w:rPr>
      </w:pPr>
    </w:p>
    <w:p>
      <w:pPr>
        <w:spacing w:line="600" w:lineRule="exact"/>
        <w:jc w:val="center"/>
        <w:rPr>
          <w:rFonts w:hint="eastAsia" w:ascii="黑体" w:hAnsi="黑体" w:eastAsia="黑体"/>
          <w:sz w:val="52"/>
          <w:szCs w:val="52"/>
        </w:rPr>
      </w:pPr>
      <w:r>
        <w:rPr>
          <w:rFonts w:hint="eastAsia" w:ascii="黑体" w:hAnsi="黑体" w:eastAsia="黑体"/>
          <w:sz w:val="52"/>
          <w:szCs w:val="52"/>
        </w:rPr>
        <w:t>目录</w:t>
      </w:r>
    </w:p>
    <w:p>
      <w:pPr>
        <w:spacing w:line="600" w:lineRule="exact"/>
        <w:jc w:val="center"/>
        <w:rPr>
          <w:rFonts w:hint="eastAsia" w:ascii="黑体" w:hAnsi="黑体" w:eastAsia="黑体"/>
          <w:sz w:val="52"/>
          <w:szCs w:val="52"/>
        </w:rPr>
      </w:pPr>
    </w:p>
    <w:p>
      <w:pPr>
        <w:pStyle w:val="6"/>
        <w:numPr>
          <w:ilvl w:val="0"/>
          <w:numId w:val="1"/>
        </w:numPr>
        <w:spacing w:line="600"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pStyle w:val="6"/>
        <w:numPr>
          <w:ilvl w:val="0"/>
          <w:numId w:val="2"/>
        </w:numPr>
        <w:spacing w:line="600"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600"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2024年</w:t>
      </w:r>
      <w:r>
        <w:rPr>
          <w:rFonts w:hint="eastAsia" w:ascii="黑体" w:hAnsi="黑体" w:eastAsia="黑体"/>
          <w:sz w:val="32"/>
          <w:szCs w:val="32"/>
        </w:rPr>
        <w:t>部门预算表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6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60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spacing w:line="60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spacing w:line="60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spacing w:line="60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600" w:lineRule="exact"/>
        <w:ind w:firstLineChars="0"/>
        <w:jc w:val="left"/>
        <w:rPr>
          <w:rFonts w:hint="eastAsia" w:ascii="黑体" w:hAnsi="黑体" w:eastAsia="黑体" w:cs="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cs="黑体"/>
          <w:sz w:val="32"/>
          <w:szCs w:val="32"/>
          <w:lang w:val="en-US" w:eastAsia="zh-CN"/>
        </w:rPr>
        <w:t>海口市金融管理局（部门）2024年部门预算情况      说明</w:t>
      </w:r>
    </w:p>
    <w:p>
      <w:pPr>
        <w:pStyle w:val="6"/>
        <w:numPr>
          <w:ilvl w:val="0"/>
          <w:numId w:val="1"/>
        </w:numPr>
        <w:spacing w:line="60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spacing w:line="600" w:lineRule="exact"/>
        <w:ind w:left="1320" w:firstLine="0" w:firstLineChars="0"/>
        <w:jc w:val="left"/>
        <w:rPr>
          <w:rFonts w:ascii="黑体" w:hAnsi="黑体" w:eastAsia="黑体"/>
          <w:sz w:val="32"/>
          <w:szCs w:val="32"/>
        </w:rPr>
      </w:pPr>
    </w:p>
    <w:p>
      <w:pPr>
        <w:spacing w:line="600" w:lineRule="exact"/>
        <w:jc w:val="left"/>
        <w:rPr>
          <w:rFonts w:ascii="黑体" w:hAnsi="黑体" w:eastAsia="黑体"/>
          <w:sz w:val="32"/>
          <w:szCs w:val="32"/>
        </w:rPr>
      </w:pPr>
    </w:p>
    <w:p>
      <w:pPr>
        <w:spacing w:line="600" w:lineRule="exact"/>
        <w:jc w:val="left"/>
        <w:rPr>
          <w:rFonts w:ascii="黑体" w:hAnsi="黑体" w:eastAsia="黑体"/>
          <w:sz w:val="32"/>
          <w:szCs w:val="32"/>
        </w:rPr>
      </w:pPr>
    </w:p>
    <w:p>
      <w:pPr>
        <w:spacing w:line="600" w:lineRule="exact"/>
        <w:jc w:val="left"/>
        <w:rPr>
          <w:rFonts w:ascii="黑体" w:hAnsi="黑体" w:eastAsia="黑体"/>
          <w:sz w:val="32"/>
          <w:szCs w:val="32"/>
        </w:rPr>
      </w:pPr>
    </w:p>
    <w:p>
      <w:pPr>
        <w:pStyle w:val="6"/>
        <w:numPr>
          <w:ilvl w:val="0"/>
          <w:numId w:val="4"/>
        </w:numPr>
        <w:spacing w:line="60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spacing w:line="600" w:lineRule="exact"/>
        <w:jc w:val="left"/>
        <w:rPr>
          <w:rFonts w:ascii="仿宋_GB2312" w:hAnsi="仿宋_GB2312" w:eastAsia="仿宋_GB2312" w:cs="仿宋_GB2312"/>
          <w:sz w:val="32"/>
          <w:szCs w:val="32"/>
        </w:rPr>
      </w:pPr>
    </w:p>
    <w:p>
      <w:pPr>
        <w:pStyle w:val="6"/>
        <w:numPr>
          <w:ilvl w:val="0"/>
          <w:numId w:val="5"/>
        </w:numPr>
        <w:spacing w:line="60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rPr>
        <w:t>市金融管理局贯彻执行党中央的方针政策、法律法规，落实省委省政府、市委市政府决策部署以及海南自由贸易港建设的政策措施，在履职过程中坚持和加强党对金融工作的集中统一领导，主要职责是：</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研究拟订并组织实施全市金融工作政策规定、规章制度和工作规划，研究提出海南自由贸易港建设金融工作方面的意见和建议。</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联系中央驻琼金融监管机构、各类金融机构，协助中央驻琼金融监管机构依法对全市金融机构进行监管。</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组织开展政府与金融机构合作、金融机构和企业对接，引导、协调金融机构支持全市经济社会工作。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推动建立与海南自由贸易港相适应的金融开放模式。研究推进跨境贸易投融资自由便利的政策体系和政策措施。</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研究分析国家、省有关金融政策、宏观经济金融形势</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和全市金融运行情况，引导、协调金融机构为重点领域、重点工程、重点项目、重点区域和中小微企业提供投融资服务。</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服务责任，协助省金融监管局监管辖区内小额贷款公司、融资担保公司、区域性股权交易市场、典当行、融资租赁公司、商业保理公司、地方资产管理公司，网络借贷中介机构以及开展信用互助的农民专业合作社（含农民资金机构）、投资公司、社会众筹机构、地方各类交易场所等机构(场所)的风险处置。</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承担属地金融风险防范化解责任，牵头负责防范、打击和处置非法集资工作。负责建立与省金融信息共享、金融风险处置、业务工作联系机制。会同有关部门做好海口市维稳及金融突发事件应急处置相关工作。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促进全市多层次资本市场建设，指导推进企业改制上市、基金设立等工作，指导协调上市公司再融资及并购重组工作。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推动农民小额贷款、金融扶贫等普惠金融工作以及科技金融工作。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贯彻落实国家和省绿色金融的政策方针，协调推进国家、省对海口绿色金融的政策支持，推进绿色金融和绿色产业工作。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配合推动全市金融人力资源开发和金融人才队伍建设工作。</w:t>
      </w:r>
    </w:p>
    <w:p>
      <w:pPr>
        <w:pStyle w:val="6"/>
        <w:numPr>
          <w:ilvl w:val="0"/>
          <w:numId w:val="6"/>
        </w:numPr>
        <w:spacing w:line="600" w:lineRule="exact"/>
        <w:ind w:firstLineChars="0"/>
        <w:jc w:val="left"/>
        <w:rPr>
          <w:rFonts w:hint="eastAsia" w:ascii="仿宋" w:hAnsi="仿宋" w:eastAsia="仿宋" w:cs="仿宋"/>
          <w:sz w:val="32"/>
          <w:szCs w:val="32"/>
        </w:rPr>
      </w:pPr>
      <w:r>
        <w:rPr>
          <w:rFonts w:hint="eastAsia" w:ascii="仿宋" w:hAnsi="仿宋" w:eastAsia="仿宋" w:cs="仿宋"/>
          <w:sz w:val="32"/>
          <w:szCs w:val="32"/>
        </w:rPr>
        <w:t>完成省委省政府、市委市政府交办的其他事项。</w:t>
      </w:r>
    </w:p>
    <w:p>
      <w:pPr>
        <w:pStyle w:val="10"/>
        <w:spacing w:beforeLines="0" w:after="215" w:afterLines="0" w:line="600" w:lineRule="exact"/>
        <w:rPr>
          <w:rFonts w:hint="eastAsia" w:ascii="FangSong_GB2312" w:hAnsi="FangSong_GB2312" w:eastAsia="FangSong_GB2312"/>
          <w:sz w:val="32"/>
        </w:rPr>
      </w:pPr>
      <w:r>
        <w:rPr>
          <w:rFonts w:hint="eastAsia" w:ascii="仿宋" w:hAnsi="仿宋" w:eastAsia="仿宋" w:cs="仿宋"/>
          <w:sz w:val="32"/>
          <w:lang w:val="en-US" w:eastAsia="zh-CN"/>
        </w:rPr>
        <w:t xml:space="preserve">    </w:t>
      </w:r>
      <w:r>
        <w:rPr>
          <w:rFonts w:hint="eastAsia" w:ascii="仿宋" w:hAnsi="仿宋" w:eastAsia="仿宋" w:cs="仿宋"/>
          <w:sz w:val="32"/>
        </w:rPr>
        <w:t>市金融管理局设下列内设机构：</w:t>
      </w:r>
    </w:p>
    <w:p>
      <w:pPr>
        <w:spacing w:beforeLines="0" w:afterLines="0" w:line="600" w:lineRule="exact"/>
        <w:ind w:firstLine="637"/>
        <w:jc w:val="left"/>
        <w:rPr>
          <w:rFonts w:hint="eastAsia" w:ascii="仿宋" w:hAnsi="仿宋" w:eastAsia="仿宋" w:cs="仿宋"/>
          <w:sz w:val="32"/>
        </w:rPr>
      </w:pPr>
      <w:r>
        <w:rPr>
          <w:rFonts w:hint="eastAsia" w:ascii="仿宋" w:hAnsi="仿宋" w:eastAsia="仿宋" w:cs="仿宋"/>
          <w:sz w:val="32"/>
        </w:rPr>
        <w:t>（一）办公室</w:t>
      </w:r>
    </w:p>
    <w:p>
      <w:pPr>
        <w:pStyle w:val="12"/>
        <w:spacing w:beforeLines="0" w:afterLines="0" w:line="600" w:lineRule="exact"/>
        <w:ind w:firstLine="637"/>
        <w:rPr>
          <w:rFonts w:hint="eastAsia" w:ascii="FangSong_GB2312" w:hAnsi="FangSong_GB2312" w:eastAsia="FangSong_GB2312"/>
          <w:sz w:val="32"/>
        </w:rPr>
      </w:pPr>
      <w:r>
        <w:rPr>
          <w:rFonts w:hint="eastAsia" w:ascii="FangSong_GB2312" w:hAnsi="FangSong_GB2312" w:eastAsia="FangSong_GB2312"/>
          <w:sz w:val="32"/>
        </w:rPr>
        <w:t>负责起草有关综合性文件和工作总结报告；负责制定和实施机关内部规章制度；负责文电、会务、机要、档案、安全保卫及后勤保障等机关日常工作；承担保密、财务资产、</w:t>
      </w:r>
      <w:r>
        <w:rPr>
          <w:rFonts w:hint="eastAsia"/>
          <w:sz w:val="32"/>
          <w:lang w:eastAsia="zh-CN"/>
        </w:rPr>
        <w:t>政府信息</w:t>
      </w:r>
      <w:r>
        <w:rPr>
          <w:rFonts w:hint="eastAsia" w:ascii="FangSong_GB2312" w:hAnsi="FangSong_GB2312" w:eastAsia="FangSong_GB2312"/>
          <w:sz w:val="32"/>
        </w:rPr>
        <w:t>公开及人大建议、政协提案办理等工作；统筹做好定点扶贫和乡村振兴工作，负责机构编制、人事管理、队伍建设、老干部服务、群团工作；负责机关党的建设、党风廉政和反腐败工作；会同有关部门落实促进金融人才工作的政策措施。</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（二）自贸金融科</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研究起草本市金融相关规范性文件，拟订全市金融业发展规划和鼓励金融业发展的政策措施；推进金融业改革开放，研究提出支持自由贸易港建设和优化金融服务的政策建议，协调推动建立与自贸港相适应的金融开放模式，落实外汇管理制度改革、跨境人民币业务及离岸金融有关工作，积极服务跨境贸易投资自由便利；配合推进自由贸易账户体系建设和相关风险监督与评估；研究分析国家、省里有关金融政策、宏观经济金融形势和全市金融运行情况；协调落实市政府与金融机构的战略合作；负责协调金融招商工作；负责绿色金融、金融科技创新发展相关工作；负</w:t>
      </w:r>
    </w:p>
    <w:p>
      <w:pPr>
        <w:pageBreakBefore w:val="0"/>
        <w:spacing w:beforeLines="0" w:afterLines="0" w:line="600" w:lineRule="exact"/>
        <w:jc w:val="left"/>
        <w:rPr>
          <w:rFonts w:hint="eastAsia" w:ascii="仿宋" w:hAnsi="仿宋" w:eastAsia="仿宋" w:cs="仿宋"/>
          <w:sz w:val="32"/>
        </w:rPr>
      </w:pPr>
      <w:r>
        <w:rPr>
          <w:rFonts w:hint="eastAsia" w:ascii="仿宋" w:hAnsi="仿宋" w:eastAsia="仿宋" w:cs="仿宋"/>
          <w:sz w:val="32"/>
        </w:rPr>
        <w:t>责全市金融运行情况以及金融数据统计分析和报表汇总工作。</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（三）银行保险科</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负责联系和服务海口银行保险机构，推动相关改革工作；协助推动海口市法人银行、保险机构等非银机构的改革、创新和发展；负责协调推进政银企对接活动；负责开发中小微企业融资风险分担产品和服务工作；协助中央驻琼金融监管机构对各银行保险机构的监管以及防范、处置、化解银行保险机构的金融风险；协助完善地方银行保险业综合风险防范系统，加强日常监测和数据分析；指导和督促银行保险业相关自律组织的活动；承担全市农民小额贷款、金融扶贫工作；编制上述机构的数据统计和报表汇总工作。</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（四）资本市场科</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证券、期货、基金业金融机构和区域性股权市场、地方各类交易场所的报批和监督管理；负责全市多层次资本市场建设，建立全市上市后备企业资源库，推进企业直接融资工作；编制上述机构（场所）的经营数据统计报表，加强日常监测和数据分析；指导和监督相关自律组织的活动。</w:t>
      </w:r>
    </w:p>
    <w:p>
      <w:pPr>
        <w:pStyle w:val="12"/>
        <w:spacing w:beforeLines="0" w:afterLines="0" w:line="600" w:lineRule="exact"/>
        <w:ind w:firstLine="637"/>
        <w:rPr>
          <w:rFonts w:hint="eastAsia" w:ascii="仿宋" w:hAnsi="仿宋" w:eastAsia="仿宋" w:cs="仿宋"/>
          <w:sz w:val="32"/>
        </w:rPr>
      </w:pPr>
      <w:r>
        <w:rPr>
          <w:rFonts w:hint="eastAsia" w:ascii="仿宋" w:hAnsi="仿宋" w:eastAsia="仿宋" w:cs="仿宋"/>
          <w:sz w:val="32"/>
        </w:rPr>
        <w:t>（五）金融稳定科</w:t>
      </w:r>
    </w:p>
    <w:p>
      <w:pPr>
        <w:pStyle w:val="13"/>
        <w:spacing w:beforeLines="0" w:afterLines="0" w:line="600" w:lineRule="exact"/>
        <w:ind w:right="147"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内的融资担保公司、社会众筹机构、网络借贷中介机构、开展信用互助的农民专业合作社、小额贷款公司、典当行、融资租赁公司、商业保理公司、地方资产管理公司以及投资公司等地方金融机构或类金融机构的报批和监督管理，以及防范、处置、化解金融风险问题；负责全市辖区打击和处置非法集资工作；开展金融安全知识宣传普及和打击、处置非法集资宣传工作；建立金融风险预警体系，配合省金融监管局做好地方金融综合风险防范系统建设等相关工作，组织协调金融突发事件应急工作，制定实施全市金融安全生产应急预案以及地方金融风险防范和化解的政策措施；配合有关部门查处、打击非法金融机构和非法金融业务活动；制定金融突发事件处置措施和处置程序，协调处置金融风险事件；加强日常监测和数据分析；负责本单位信访统筹协调工作；负责本单位信息化项目建设管理、科技服务工作，负责本单位信息与政府相关信息系统的数据共享和应用。</w:t>
      </w:r>
    </w:p>
    <w:p>
      <w:pPr>
        <w:pStyle w:val="13"/>
        <w:spacing w:line="600" w:lineRule="exact"/>
        <w:ind w:right="147" w:firstLine="637"/>
        <w:rPr>
          <w:rFonts w:ascii="仿宋_GB2312" w:hAnsi="黑体" w:eastAsia="仿宋_GB2312" w:cs="仿宋_GB2312"/>
          <w:sz w:val="32"/>
          <w:szCs w:val="32"/>
        </w:rPr>
      </w:pPr>
      <w:r>
        <w:rPr>
          <w:rFonts w:hint="eastAsia" w:ascii="仿宋" w:hAnsi="仿宋" w:eastAsia="仿宋" w:cs="仿宋"/>
          <w:sz w:val="32"/>
        </w:rPr>
        <w:t>市金融管理局行政编制20名。设局长1名，副局长3名。科级领导职数10名，其中正科级6名（含党支部专职副书记1名），副科级4名。</w:t>
      </w:r>
    </w:p>
    <w:p>
      <w:pPr>
        <w:pStyle w:val="6"/>
        <w:numPr>
          <w:ilvl w:val="0"/>
          <w:numId w:val="5"/>
        </w:numPr>
        <w:spacing w:line="600"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600" w:lineRule="exact"/>
        <w:ind w:firstLine="800" w:firstLineChars="250"/>
        <w:jc w:val="left"/>
        <w:rPr>
          <w:rFonts w:hint="eastAsia" w:ascii="仿宋" w:hAnsi="仿宋" w:eastAsia="仿宋" w:cs="仿宋"/>
          <w:sz w:val="32"/>
          <w:szCs w:val="32"/>
          <w:lang w:val="en-US" w:eastAsia="zh-CN"/>
        </w:rPr>
      </w:pPr>
      <w:r>
        <w:rPr>
          <w:rFonts w:hint="eastAsia" w:ascii="仿宋" w:hAnsi="仿宋" w:eastAsia="仿宋" w:cs="仿宋"/>
          <w:sz w:val="32"/>
          <w:szCs w:val="32"/>
        </w:rPr>
        <w:t>纳入</w:t>
      </w:r>
      <w:r>
        <w:rPr>
          <w:rFonts w:hint="eastAsia" w:ascii="仿宋" w:hAnsi="仿宋" w:eastAsia="仿宋" w:cs="仿宋"/>
          <w:sz w:val="32"/>
          <w:szCs w:val="32"/>
          <w:lang w:val="en-US" w:eastAsia="zh-CN"/>
        </w:rPr>
        <w:t>海口市金融管理局2024年</w:t>
      </w:r>
      <w:r>
        <w:rPr>
          <w:rFonts w:hint="eastAsia" w:ascii="仿宋" w:hAnsi="仿宋" w:eastAsia="仿宋" w:cs="仿宋"/>
          <w:sz w:val="32"/>
          <w:szCs w:val="32"/>
        </w:rPr>
        <w:t>部门预算编制范围的</w:t>
      </w:r>
      <w:r>
        <w:rPr>
          <w:rFonts w:hint="eastAsia" w:ascii="仿宋" w:hAnsi="仿宋" w:eastAsia="仿宋" w:cs="仿宋"/>
          <w:sz w:val="32"/>
          <w:szCs w:val="32"/>
          <w:lang w:val="en-US" w:eastAsia="zh-CN"/>
        </w:rPr>
        <w:t>仅为本</w:t>
      </w:r>
      <w:r>
        <w:rPr>
          <w:rFonts w:hint="eastAsia" w:ascii="仿宋" w:hAnsi="仿宋" w:eastAsia="仿宋" w:cs="仿宋"/>
          <w:sz w:val="32"/>
          <w:szCs w:val="32"/>
        </w:rPr>
        <w:t>级预算单位</w:t>
      </w:r>
      <w:r>
        <w:rPr>
          <w:rFonts w:hint="eastAsia" w:ascii="仿宋" w:hAnsi="仿宋" w:eastAsia="仿宋" w:cs="仿宋"/>
          <w:sz w:val="32"/>
          <w:szCs w:val="32"/>
          <w:lang w:eastAsia="zh-CN"/>
        </w:rPr>
        <w:t>。</w:t>
      </w:r>
    </w:p>
    <w:p>
      <w:pPr>
        <w:numPr>
          <w:ilvl w:val="0"/>
          <w:numId w:val="7"/>
        </w:numPr>
        <w:spacing w:line="600" w:lineRule="exact"/>
        <w:ind w:firstLine="640" w:firstLineChars="200"/>
        <w:rPr>
          <w:rFonts w:hint="eastAsia" w:ascii="黑体" w:hAnsi="黑体" w:eastAsia="黑体"/>
          <w:sz w:val="32"/>
          <w:szCs w:val="32"/>
        </w:rPr>
      </w:pP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2024年</w:t>
      </w:r>
      <w:r>
        <w:rPr>
          <w:rFonts w:hint="eastAsia" w:ascii="黑体" w:hAnsi="黑体" w:eastAsia="黑体"/>
          <w:sz w:val="32"/>
          <w:szCs w:val="32"/>
        </w:rPr>
        <w:t>部门预算表</w:t>
      </w:r>
    </w:p>
    <w:p>
      <w:pPr>
        <w:spacing w:line="600" w:lineRule="exact"/>
        <w:jc w:val="both"/>
        <w:rPr>
          <w:rFonts w:hint="default" w:ascii="黑体" w:hAnsi="黑体" w:eastAsia="黑体"/>
          <w:sz w:val="32"/>
          <w:szCs w:val="32"/>
          <w:lang w:val="en-US" w:eastAsia="zh-CN"/>
        </w:rPr>
      </w:pPr>
      <w:r>
        <w:rPr>
          <w:rFonts w:hint="eastAsia" w:ascii="仿宋_GB2312" w:hAnsi="黑体" w:eastAsia="仿宋_GB2312"/>
          <w:b/>
          <w:sz w:val="32"/>
          <w:szCs w:val="32"/>
          <w:lang w:val="en-US" w:eastAsia="zh-CN"/>
        </w:rPr>
        <w:t xml:space="preserve">  </w:t>
      </w:r>
      <w:r>
        <w:rPr>
          <w:rFonts w:hint="eastAsia" w:ascii="仿宋_GB2312" w:hAnsi="黑体" w:eastAsia="仿宋_GB2312"/>
          <w:b/>
          <w:sz w:val="32"/>
          <w:szCs w:val="32"/>
        </w:rPr>
        <w:t>（此部分内容</w:t>
      </w:r>
      <w:r>
        <w:rPr>
          <w:rFonts w:hint="eastAsia" w:ascii="仿宋_GB2312" w:hAnsi="黑体" w:eastAsia="仿宋_GB2312"/>
          <w:b/>
          <w:sz w:val="32"/>
          <w:szCs w:val="32"/>
          <w:lang w:val="en-US" w:eastAsia="zh-CN"/>
        </w:rPr>
        <w:t>详见部门</w:t>
      </w:r>
      <w:r>
        <w:rPr>
          <w:rFonts w:hint="eastAsia" w:ascii="仿宋_GB2312" w:hAnsi="黑体" w:eastAsia="仿宋_GB2312"/>
          <w:b/>
          <w:sz w:val="32"/>
          <w:szCs w:val="32"/>
        </w:rPr>
        <w:t>预算公开表）</w:t>
      </w:r>
    </w:p>
    <w:p>
      <w:pPr>
        <w:numPr>
          <w:ilvl w:val="-1"/>
          <w:numId w:val="0"/>
        </w:numPr>
        <w:spacing w:line="600" w:lineRule="exact"/>
        <w:ind w:firstLine="0" w:firstLineChars="0"/>
        <w:rPr>
          <w:rFonts w:hint="eastAsia" w:ascii="黑体" w:hAnsi="黑体" w:eastAsia="黑体"/>
          <w:sz w:val="32"/>
          <w:szCs w:val="32"/>
        </w:rPr>
      </w:pPr>
    </w:p>
    <w:p>
      <w:pPr>
        <w:spacing w:line="600" w:lineRule="exact"/>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黑体" w:hAnsi="黑体" w:eastAsia="黑体" w:cs="黑体"/>
          <w:sz w:val="32"/>
          <w:szCs w:val="32"/>
          <w:lang w:val="en-US" w:eastAsia="zh-CN"/>
        </w:rPr>
        <w:t>2024年</w:t>
      </w:r>
      <w:r>
        <w:rPr>
          <w:rFonts w:hint="eastAsia" w:ascii="黑体" w:hAnsi="黑体" w:eastAsia="黑体"/>
          <w:sz w:val="32"/>
          <w:szCs w:val="32"/>
        </w:rPr>
        <w:t>部门（预算情况说明</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2024年</w:t>
      </w:r>
      <w:r>
        <w:rPr>
          <w:rFonts w:hint="eastAsia" w:ascii="黑体" w:hAnsi="黑体" w:eastAsia="黑体"/>
          <w:sz w:val="32"/>
          <w:szCs w:val="32"/>
        </w:rPr>
        <w:t>财政拨款收支预算情况的总体说明</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财政拨款收支总预算</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1661.71</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万元，包括</w:t>
      </w:r>
      <w:r>
        <w:rPr>
          <w:rFonts w:hint="eastAsia" w:ascii="仿宋" w:hAnsi="仿宋" w:eastAsia="仿宋" w:cs="仿宋"/>
          <w:sz w:val="32"/>
          <w:szCs w:val="32"/>
          <w:lang w:val="en-US" w:eastAsia="zh-CN"/>
        </w:rPr>
        <w:t>一般公共服务支出185万元、</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47.22</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38.83</w:t>
      </w:r>
      <w:r>
        <w:rPr>
          <w:rFonts w:hint="eastAsia" w:ascii="仿宋" w:hAnsi="仿宋" w:eastAsia="仿宋" w:cs="仿宋"/>
          <w:sz w:val="32"/>
          <w:szCs w:val="32"/>
        </w:rPr>
        <w:t>万元、农林水支出</w:t>
      </w:r>
      <w:r>
        <w:rPr>
          <w:rFonts w:hint="eastAsia" w:ascii="仿宋" w:hAnsi="仿宋" w:eastAsia="仿宋" w:cs="仿宋"/>
          <w:sz w:val="32"/>
          <w:szCs w:val="32"/>
          <w:lang w:val="en-US" w:eastAsia="zh-CN"/>
        </w:rPr>
        <w:t>742</w:t>
      </w:r>
      <w:r>
        <w:rPr>
          <w:rFonts w:hint="eastAsia" w:ascii="仿宋" w:hAnsi="仿宋" w:eastAsia="仿宋" w:cs="仿宋"/>
          <w:sz w:val="32"/>
          <w:szCs w:val="32"/>
        </w:rPr>
        <w:t>万元、</w:t>
      </w:r>
      <w:r>
        <w:rPr>
          <w:rFonts w:hint="eastAsia" w:ascii="仿宋" w:hAnsi="仿宋" w:eastAsia="仿宋" w:cs="仿宋"/>
          <w:sz w:val="32"/>
          <w:szCs w:val="32"/>
          <w:lang w:val="en-US" w:eastAsia="zh-CN"/>
        </w:rPr>
        <w:t>商业服务业等支出335万元、</w:t>
      </w:r>
      <w:r>
        <w:rPr>
          <w:rFonts w:hint="eastAsia" w:ascii="仿宋" w:hAnsi="仿宋" w:eastAsia="仿宋" w:cs="仿宋"/>
          <w:sz w:val="32"/>
          <w:szCs w:val="32"/>
        </w:rPr>
        <w:t>金融支出</w:t>
      </w:r>
      <w:r>
        <w:rPr>
          <w:rFonts w:hint="eastAsia" w:ascii="仿宋" w:hAnsi="仿宋" w:eastAsia="仿宋" w:cs="仿宋"/>
          <w:sz w:val="32"/>
          <w:szCs w:val="32"/>
          <w:lang w:val="en-US" w:eastAsia="zh-CN"/>
        </w:rPr>
        <w:t>285.81万元</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27.89万元，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60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海口市金融管理局（部门）</w:t>
      </w:r>
      <w:r>
        <w:rPr>
          <w:rFonts w:hint="eastAsia" w:ascii="黑体" w:hAnsi="黑体" w:eastAsia="黑体" w:cs="黑体"/>
          <w:sz w:val="32"/>
          <w:szCs w:val="32"/>
          <w:lang w:val="en-US" w:eastAsia="zh-CN"/>
        </w:rPr>
        <w:t>2024年</w:t>
      </w:r>
      <w:r>
        <w:rPr>
          <w:rFonts w:hint="eastAsia" w:ascii="黑体" w:hAnsi="黑体" w:eastAsia="黑体" w:cs="黑体"/>
          <w:sz w:val="32"/>
          <w:szCs w:val="32"/>
          <w:lang w:eastAsia="zh-CN"/>
        </w:rPr>
        <w:t>一</w:t>
      </w:r>
      <w:r>
        <w:rPr>
          <w:rFonts w:hint="eastAsia" w:ascii="黑体" w:hAnsi="黑体" w:eastAsia="黑体"/>
          <w:sz w:val="32"/>
          <w:szCs w:val="32"/>
        </w:rPr>
        <w:t>般公共预算当年拨款情况说明</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（一）一般公共预算当年规模变化情况</w:t>
      </w:r>
    </w:p>
    <w:p>
      <w:pPr>
        <w:spacing w:line="6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一般公共预算当年拨款</w:t>
      </w:r>
      <w:r>
        <w:rPr>
          <w:rFonts w:hint="eastAsia" w:ascii="仿宋" w:hAnsi="仿宋" w:eastAsia="仿宋" w:cs="仿宋"/>
          <w:sz w:val="32"/>
          <w:szCs w:val="32"/>
          <w:lang w:val="en-US" w:eastAsia="zh-CN"/>
        </w:rPr>
        <w:t>1661.71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12.67</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2024年新增金保贷风险防范金（200万元）、2024年省级的农民小额贷款贴息资金（742万元）需纳入部门预算，此外我局2023年6月新增了1名新入职员工，以及1名来琼服务博士挂职、新增</w:t>
      </w:r>
      <w:r>
        <w:rPr>
          <w:rFonts w:hint="eastAsia" w:ascii="仿宋" w:hAnsi="仿宋" w:eastAsia="仿宋" w:cs="仿宋"/>
          <w:color w:val="auto"/>
          <w:sz w:val="32"/>
          <w:szCs w:val="32"/>
        </w:rPr>
        <w:t>乡村振兴帮扶联系人</w:t>
      </w:r>
      <w:r>
        <w:rPr>
          <w:rFonts w:hint="eastAsia" w:ascii="仿宋" w:hAnsi="仿宋" w:eastAsia="仿宋" w:cs="仿宋"/>
          <w:color w:val="auto"/>
          <w:sz w:val="32"/>
          <w:szCs w:val="32"/>
          <w:lang w:val="en-US" w:eastAsia="zh-CN"/>
        </w:rPr>
        <w:t>2名，挂职干部补贴及帮扶联系人下乡补贴等均需纳入部门预算。</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spacing w:line="600" w:lineRule="exact"/>
        <w:ind w:firstLine="800" w:firstLineChars="25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一般公共服务支出185万元，占11.13%；</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47.22</w:t>
      </w:r>
      <w:r>
        <w:rPr>
          <w:rFonts w:hint="eastAsia" w:ascii="仿宋" w:hAnsi="仿宋" w:eastAsia="仿宋" w:cs="仿宋"/>
          <w:sz w:val="32"/>
          <w:szCs w:val="32"/>
        </w:rPr>
        <w:t>万元，占</w:t>
      </w:r>
      <w:r>
        <w:rPr>
          <w:rFonts w:hint="eastAsia" w:ascii="仿宋" w:hAnsi="仿宋" w:eastAsia="仿宋" w:cs="仿宋"/>
          <w:sz w:val="32"/>
          <w:szCs w:val="32"/>
          <w:lang w:val="en-US" w:eastAsia="zh-CN"/>
        </w:rPr>
        <w:t>2.84</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38.83</w:t>
      </w:r>
      <w:r>
        <w:rPr>
          <w:rFonts w:hint="eastAsia" w:ascii="仿宋" w:hAnsi="仿宋" w:eastAsia="仿宋" w:cs="仿宋"/>
          <w:sz w:val="32"/>
          <w:szCs w:val="32"/>
        </w:rPr>
        <w:t>万元，占</w:t>
      </w:r>
      <w:r>
        <w:rPr>
          <w:rFonts w:hint="eastAsia" w:ascii="仿宋" w:hAnsi="仿宋" w:eastAsia="仿宋" w:cs="仿宋"/>
          <w:sz w:val="32"/>
          <w:szCs w:val="32"/>
          <w:lang w:val="en-US" w:eastAsia="zh-CN"/>
        </w:rPr>
        <w:t>2.33</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742</w:t>
      </w:r>
      <w:r>
        <w:rPr>
          <w:rFonts w:hint="eastAsia" w:ascii="仿宋" w:hAnsi="仿宋" w:eastAsia="仿宋" w:cs="仿宋"/>
          <w:sz w:val="32"/>
          <w:szCs w:val="32"/>
        </w:rPr>
        <w:t>万元，占</w:t>
      </w:r>
      <w:r>
        <w:rPr>
          <w:rFonts w:hint="eastAsia" w:ascii="仿宋" w:hAnsi="仿宋" w:eastAsia="仿宋" w:cs="仿宋"/>
          <w:sz w:val="32"/>
          <w:szCs w:val="32"/>
          <w:lang w:val="en-US" w:eastAsia="zh-CN"/>
        </w:rPr>
        <w:t>44.65</w:t>
      </w:r>
      <w:r>
        <w:rPr>
          <w:rFonts w:hint="eastAsia" w:ascii="仿宋" w:hAnsi="仿宋" w:eastAsia="仿宋" w:cs="仿宋"/>
          <w:sz w:val="32"/>
          <w:szCs w:val="32"/>
        </w:rPr>
        <w:t>%；</w:t>
      </w:r>
      <w:r>
        <w:rPr>
          <w:rFonts w:hint="eastAsia" w:ascii="仿宋" w:hAnsi="仿宋" w:eastAsia="仿宋" w:cs="仿宋"/>
          <w:sz w:val="32"/>
          <w:szCs w:val="32"/>
          <w:lang w:val="en-US" w:eastAsia="zh-CN"/>
        </w:rPr>
        <w:t>商业服务业等支出335万元，占20.16%，</w:t>
      </w:r>
      <w:r>
        <w:rPr>
          <w:rFonts w:hint="eastAsia" w:ascii="仿宋" w:hAnsi="仿宋" w:eastAsia="仿宋" w:cs="仿宋"/>
          <w:sz w:val="32"/>
          <w:szCs w:val="32"/>
        </w:rPr>
        <w:t>金融支出</w:t>
      </w:r>
      <w:r>
        <w:rPr>
          <w:rFonts w:hint="eastAsia" w:ascii="仿宋" w:hAnsi="仿宋" w:eastAsia="仿宋" w:cs="仿宋"/>
          <w:sz w:val="32"/>
          <w:szCs w:val="32"/>
          <w:lang w:val="en-US" w:eastAsia="zh-CN"/>
        </w:rPr>
        <w:t>285.81万元</w:t>
      </w:r>
      <w:r>
        <w:rPr>
          <w:rFonts w:hint="eastAsia" w:ascii="仿宋" w:hAnsi="仿宋" w:eastAsia="仿宋" w:cs="仿宋"/>
          <w:sz w:val="32"/>
          <w:szCs w:val="32"/>
        </w:rPr>
        <w:t>，占</w:t>
      </w:r>
      <w:r>
        <w:rPr>
          <w:rFonts w:hint="eastAsia" w:ascii="仿宋" w:hAnsi="仿宋" w:eastAsia="仿宋" w:cs="仿宋"/>
          <w:sz w:val="32"/>
          <w:szCs w:val="32"/>
          <w:lang w:val="en-US" w:eastAsia="zh-CN"/>
        </w:rPr>
        <w:t>17.2</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27.89万元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1.68</w:t>
      </w:r>
      <w:r>
        <w:rPr>
          <w:rFonts w:hint="eastAsia" w:ascii="仿宋" w:hAnsi="仿宋" w:eastAsia="仿宋" w:cs="仿宋"/>
          <w:sz w:val="32"/>
          <w:szCs w:val="32"/>
        </w:rPr>
        <w:t>%</w:t>
      </w:r>
    </w:p>
    <w:p>
      <w:pPr>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金融支出</w:t>
      </w:r>
      <w:r>
        <w:rPr>
          <w:rFonts w:hint="eastAsia" w:ascii="仿宋" w:hAnsi="仿宋" w:eastAsia="仿宋" w:cs="仿宋"/>
          <w:sz w:val="32"/>
          <w:szCs w:val="32"/>
        </w:rPr>
        <w:t>（类） 金融部门行政支出（款）行政运行（项）</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285.81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45.87万元</w:t>
      </w:r>
      <w:r>
        <w:rPr>
          <w:rFonts w:hint="eastAsia" w:ascii="仿宋" w:hAnsi="仿宋" w:eastAsia="仿宋" w:cs="仿宋"/>
          <w:sz w:val="32"/>
          <w:szCs w:val="32"/>
        </w:rPr>
        <w:t>，主要是</w:t>
      </w:r>
      <w:r>
        <w:rPr>
          <w:rFonts w:hint="eastAsia" w:ascii="仿宋" w:hAnsi="仿宋" w:eastAsia="仿宋" w:cs="仿宋"/>
          <w:sz w:val="32"/>
          <w:szCs w:val="32"/>
          <w:lang w:val="en-US" w:eastAsia="zh-CN"/>
        </w:rPr>
        <w:t>2023年我局有新入职人员，需增加人员经费以及机关单位日常运转的所需费用也相应增加。</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2. </w:t>
      </w:r>
      <w:r>
        <w:rPr>
          <w:rFonts w:hint="eastAsia" w:ascii="仿宋" w:hAnsi="仿宋" w:eastAsia="仿宋" w:cs="仿宋"/>
          <w:sz w:val="32"/>
          <w:szCs w:val="32"/>
          <w:lang w:eastAsia="zh-CN"/>
        </w:rPr>
        <w:t>金融支出</w:t>
      </w:r>
      <w:r>
        <w:rPr>
          <w:rFonts w:hint="eastAsia" w:ascii="仿宋" w:hAnsi="仿宋" w:eastAsia="仿宋" w:cs="仿宋"/>
          <w:sz w:val="32"/>
          <w:szCs w:val="32"/>
        </w:rPr>
        <w:t>（类）金融部门行政支出（款）一般行政管理事务（项）</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185</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减少35</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2023年预算使用情况安排该预算。</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农林水支出（类） 普惠金融发展支出（款）  其他普惠金融发展支出（项）</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742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219万元</w:t>
      </w:r>
      <w:r>
        <w:rPr>
          <w:rFonts w:hint="eastAsia" w:ascii="仿宋" w:hAnsi="仿宋" w:eastAsia="仿宋" w:cs="仿宋"/>
          <w:sz w:val="32"/>
          <w:szCs w:val="32"/>
        </w:rPr>
        <w:t>，主要是</w:t>
      </w:r>
      <w:r>
        <w:rPr>
          <w:rFonts w:hint="eastAsia" w:ascii="仿宋" w:hAnsi="仿宋" w:eastAsia="仿宋" w:cs="仿宋"/>
          <w:sz w:val="32"/>
          <w:szCs w:val="32"/>
          <w:lang w:val="en-US" w:eastAsia="zh-CN"/>
        </w:rPr>
        <w:t>省级财政部门拨付2024年农民小额贷款的贴息资金。</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商业服务业等支出（类）其他商业服务业等支出（款）其他商业服务业等支出（项）2024年预算数为335万元，比上年预算数增加200万元，主要是用于拨付海南省登记结算中心房租补贴以及新增金保贷风险防范资金200万元。</w:t>
      </w:r>
    </w:p>
    <w:p>
      <w:pPr>
        <w:spacing w:line="60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w:t>
      </w:r>
      <w:r>
        <w:rPr>
          <w:rFonts w:hint="eastAsia" w:ascii="黑体" w:hAnsi="黑体" w:eastAsia="黑体" w:cs="黑体"/>
          <w:sz w:val="32"/>
          <w:szCs w:val="32"/>
          <w:lang w:eastAsia="zh-CN"/>
        </w:rPr>
        <w:t>门）</w:t>
      </w:r>
      <w:r>
        <w:rPr>
          <w:rFonts w:hint="eastAsia" w:ascii="黑体" w:hAnsi="黑体" w:eastAsia="黑体" w:cs="黑体"/>
          <w:sz w:val="32"/>
          <w:szCs w:val="32"/>
          <w:lang w:val="en-US" w:eastAsia="zh-CN"/>
        </w:rPr>
        <w:t>2024年</w:t>
      </w:r>
      <w:r>
        <w:rPr>
          <w:rFonts w:hint="eastAsia" w:ascii="黑体" w:hAnsi="黑体" w:eastAsia="黑体" w:cs="黑体"/>
          <w:sz w:val="32"/>
          <w:szCs w:val="32"/>
          <w:lang w:eastAsia="zh-CN"/>
        </w:rPr>
        <w:t>一般公共</w:t>
      </w:r>
      <w:r>
        <w:rPr>
          <w:rFonts w:hint="eastAsia" w:ascii="黑体" w:hAnsi="黑体" w:eastAsia="黑体"/>
          <w:sz w:val="32"/>
          <w:szCs w:val="32"/>
        </w:rPr>
        <w:t>预算基本支出情况说明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海口市金融管理局（部门）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一般公共预算基本支出为</w:t>
      </w:r>
      <w:r>
        <w:rPr>
          <w:rFonts w:hint="eastAsia" w:ascii="仿宋" w:hAnsi="仿宋" w:eastAsia="仿宋" w:cs="仿宋"/>
          <w:sz w:val="32"/>
          <w:szCs w:val="32"/>
          <w:lang w:val="en-US" w:eastAsia="zh-CN"/>
        </w:rPr>
        <w:t>399.74</w:t>
      </w:r>
      <w:r>
        <w:rPr>
          <w:rFonts w:hint="eastAsia" w:ascii="仿宋" w:hAnsi="仿宋" w:eastAsia="仿宋" w:cs="仿宋"/>
          <w:sz w:val="32"/>
          <w:szCs w:val="32"/>
        </w:rPr>
        <w:t>万元，其中：</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360.10</w:t>
      </w:r>
      <w:r>
        <w:rPr>
          <w:rFonts w:hint="eastAsia" w:ascii="仿宋" w:hAnsi="仿宋" w:eastAsia="仿宋" w:cs="仿宋"/>
          <w:sz w:val="32"/>
          <w:szCs w:val="32"/>
        </w:rPr>
        <w:t>万元，主要包括：基本工资、津贴补贴、奖金、社会保障缴费、 住房公积金</w:t>
      </w:r>
      <w:r>
        <w:rPr>
          <w:rFonts w:hint="eastAsia" w:ascii="仿宋" w:hAnsi="仿宋" w:eastAsia="仿宋" w:cs="仿宋"/>
          <w:sz w:val="32"/>
          <w:szCs w:val="32"/>
          <w:lang w:eastAsia="zh-CN"/>
        </w:rPr>
        <w:t>、商品和服务支出、 其他交通费用等。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39.64</w:t>
      </w:r>
      <w:r>
        <w:rPr>
          <w:rFonts w:hint="eastAsia" w:ascii="仿宋" w:hAnsi="仿宋" w:eastAsia="仿宋" w:cs="仿宋"/>
          <w:sz w:val="32"/>
          <w:szCs w:val="32"/>
        </w:rPr>
        <w:t>万元，主要包括：办公费、商品和服务支出、邮电费、 印刷费、差旅费、 培训费</w:t>
      </w:r>
      <w:r>
        <w:rPr>
          <w:rFonts w:hint="eastAsia" w:ascii="仿宋" w:hAnsi="仿宋" w:eastAsia="仿宋" w:cs="仿宋"/>
          <w:sz w:val="32"/>
          <w:szCs w:val="32"/>
          <w:lang w:eastAsia="zh-CN"/>
        </w:rPr>
        <w:t>、工会经费、</w:t>
      </w:r>
      <w:r>
        <w:rPr>
          <w:rFonts w:hint="eastAsia" w:ascii="仿宋" w:hAnsi="仿宋" w:eastAsia="仿宋" w:cs="仿宋"/>
          <w:sz w:val="32"/>
          <w:szCs w:val="32"/>
          <w:lang w:val="en-US" w:eastAsia="zh-CN"/>
        </w:rPr>
        <w:t>办公设备购置、</w:t>
      </w:r>
      <w:r>
        <w:rPr>
          <w:rFonts w:hint="eastAsia" w:ascii="仿宋" w:hAnsi="仿宋" w:eastAsia="仿宋" w:cs="仿宋"/>
          <w:sz w:val="32"/>
          <w:szCs w:val="32"/>
          <w:lang w:eastAsia="zh-CN"/>
        </w:rPr>
        <w:t>公务用车运行维护费等</w:t>
      </w:r>
      <w:r>
        <w:rPr>
          <w:rFonts w:hint="eastAsia" w:ascii="仿宋" w:hAnsi="仿宋" w:eastAsia="仿宋" w:cs="仿宋"/>
          <w:sz w:val="32"/>
          <w:szCs w:val="32"/>
        </w:rPr>
        <w:t>。</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一般公共预算“三公”经费预算数为</w:t>
      </w:r>
      <w:r>
        <w:rPr>
          <w:rFonts w:hint="eastAsia" w:ascii="仿宋" w:hAnsi="仿宋" w:eastAsia="仿宋" w:cs="仿宋"/>
          <w:sz w:val="32"/>
          <w:szCs w:val="32"/>
          <w:lang w:val="en-US" w:eastAsia="zh-CN"/>
        </w:rPr>
        <w:t>27.62</w:t>
      </w:r>
      <w:r>
        <w:rPr>
          <w:rFonts w:hint="eastAsia" w:ascii="仿宋" w:hAnsi="仿宋" w:eastAsia="仿宋" w:cs="仿宋"/>
          <w:sz w:val="32"/>
          <w:szCs w:val="32"/>
        </w:rPr>
        <w:t>万元，其中：</w:t>
      </w:r>
    </w:p>
    <w:p>
      <w:pPr>
        <w:spacing w:line="600"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hd w:val="clear" w:color="auto" w:fill="FFFFFF"/>
          <w:lang w:val="en-US" w:eastAsia="zh-CN"/>
        </w:rPr>
        <w:t>23</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相较去年新增</w:t>
      </w:r>
      <w:r>
        <w:rPr>
          <w:rFonts w:hint="eastAsia" w:ascii="仿宋" w:hAnsi="仿宋" w:eastAsia="仿宋" w:cs="仿宋"/>
          <w:sz w:val="32"/>
          <w:shd w:val="clear" w:color="auto" w:fill="FFFFFF"/>
          <w:lang w:val="en-US" w:eastAsia="zh-CN"/>
        </w:rPr>
        <w:t>23万元，主要用于出国调研考察金融课题研究经费</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3.33</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3.33</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与上年相比减少2千元</w:t>
      </w:r>
      <w:r>
        <w:rPr>
          <w:rFonts w:hint="eastAsia" w:ascii="仿宋" w:hAnsi="仿宋" w:eastAsia="仿宋" w:cs="仿宋"/>
          <w:sz w:val="32"/>
          <w:shd w:val="clear" w:color="auto" w:fill="FFFFFF"/>
        </w:rPr>
        <w:t>。主要</w:t>
      </w:r>
      <w:r>
        <w:rPr>
          <w:rFonts w:hint="eastAsia" w:ascii="仿宋" w:hAnsi="仿宋" w:eastAsia="仿宋" w:cs="仿宋"/>
          <w:sz w:val="32"/>
          <w:shd w:val="clear" w:color="auto" w:fill="FFFFFF"/>
          <w:lang w:eastAsia="zh-CN"/>
        </w:rPr>
        <w:t>用于公务用车日常运行加油费、维修保养费，运行维护经费根据市财政局要求调整</w:t>
      </w:r>
      <w:r>
        <w:rPr>
          <w:rFonts w:hint="eastAsia" w:ascii="仿宋" w:hAnsi="仿宋" w:eastAsia="仿宋" w:cs="仿宋"/>
          <w:sz w:val="32"/>
          <w:shd w:val="clear" w:color="auto" w:fill="FFFFFF"/>
          <w:lang w:val="en-US" w:eastAsia="zh-CN"/>
        </w:rPr>
        <w:t>，</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1.3</w:t>
      </w:r>
      <w:r>
        <w:rPr>
          <w:rFonts w:hint="eastAsia" w:ascii="仿宋" w:hAnsi="仿宋" w:eastAsia="仿宋" w:cs="仿宋"/>
          <w:sz w:val="32"/>
          <w:shd w:val="clear" w:color="auto" w:fill="FFFFFF"/>
        </w:rPr>
        <w:t>万元，</w:t>
      </w:r>
      <w:r>
        <w:rPr>
          <w:rFonts w:hint="eastAsia" w:ascii="仿宋" w:hAnsi="仿宋" w:eastAsia="仿宋" w:cs="仿宋"/>
          <w:sz w:val="32"/>
          <w:shd w:val="clear" w:color="auto" w:fill="FFFFFF"/>
          <w:lang w:val="en-US" w:eastAsia="zh-CN"/>
        </w:rPr>
        <w:t>与上年数据一致，无变化</w:t>
      </w:r>
      <w:r>
        <w:rPr>
          <w:rFonts w:hint="eastAsia" w:ascii="仿宋" w:hAnsi="仿宋" w:eastAsia="仿宋" w:cs="仿宋"/>
          <w:sz w:val="32"/>
          <w:shd w:val="clear" w:color="auto" w:fill="FFFFFF"/>
        </w:rPr>
        <w:t>。</w:t>
      </w:r>
    </w:p>
    <w:p>
      <w:pPr>
        <w:spacing w:line="600" w:lineRule="exact"/>
        <w:ind w:firstLine="640" w:firstLineChars="200"/>
        <w:rPr>
          <w:rFonts w:ascii="仿宋_GB2312" w:hAnsi="黑体" w:eastAsia="仿宋_GB2312"/>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2024年</w:t>
      </w:r>
      <w:r>
        <w:rPr>
          <w:rFonts w:hint="eastAsia" w:ascii="仿宋" w:hAnsi="仿宋" w:eastAsia="仿宋" w:cs="仿宋"/>
          <w:sz w:val="32"/>
          <w:szCs w:val="32"/>
        </w:rPr>
        <w:t>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海口市金融管理局2021年至今均未申报此项预算</w:t>
      </w:r>
      <w:r>
        <w:rPr>
          <w:rFonts w:hint="eastAsia" w:ascii="仿宋" w:hAnsi="仿宋" w:eastAsia="仿宋" w:cs="仿宋"/>
          <w:sz w:val="32"/>
          <w:szCs w:val="32"/>
        </w:rPr>
        <w:t>。</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海口市金融管理局2021年至今均未申报此项预算</w:t>
      </w:r>
      <w:r>
        <w:rPr>
          <w:rFonts w:hint="eastAsia" w:ascii="仿宋" w:hAnsi="仿宋" w:eastAsia="仿宋" w:cs="仿宋"/>
          <w:sz w:val="32"/>
          <w:szCs w:val="32"/>
        </w:rPr>
        <w:t>。</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w:t>
      </w:r>
      <w:r>
        <w:rPr>
          <w:rFonts w:hint="eastAsia" w:ascii="黑体" w:hAnsi="黑体" w:eastAsia="黑体" w:cs="Times New Roman"/>
          <w:sz w:val="32"/>
          <w:szCs w:val="22"/>
          <w:shd w:val="clear" w:color="auto" w:fill="FFFFFF"/>
          <w:lang w:val="en-US" w:eastAsia="zh-CN"/>
        </w:rPr>
        <w:t>2024年收支预算情</w:t>
      </w:r>
      <w:r>
        <w:rPr>
          <w:rFonts w:hint="eastAsia" w:ascii="黑体" w:hAnsi="黑体" w:eastAsia="黑体" w:cs="Times New Roman"/>
          <w:sz w:val="32"/>
          <w:shd w:val="clear" w:color="auto" w:fill="FFFFFF"/>
        </w:rPr>
        <w:t>况的总体说明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（部门）所有收入和支出均纳入部门预算管理。收入包括：一般公共预算收入；支出包括：</w:t>
      </w:r>
      <w:r>
        <w:rPr>
          <w:rFonts w:hint="eastAsia" w:ascii="仿宋" w:hAnsi="仿宋" w:eastAsia="仿宋" w:cs="仿宋"/>
          <w:sz w:val="32"/>
          <w:szCs w:val="32"/>
          <w:lang w:val="en-US" w:eastAsia="zh-CN"/>
        </w:rPr>
        <w:t>一般公共服务支出、</w:t>
      </w:r>
      <w:r>
        <w:rPr>
          <w:rFonts w:hint="eastAsia" w:ascii="仿宋" w:hAnsi="仿宋" w:eastAsia="仿宋" w:cs="仿宋"/>
          <w:sz w:val="32"/>
          <w:szCs w:val="32"/>
        </w:rPr>
        <w:t>社会保障和就业支出、卫生健康支出</w:t>
      </w:r>
      <w:r>
        <w:rPr>
          <w:rFonts w:hint="eastAsia" w:ascii="仿宋" w:hAnsi="仿宋" w:eastAsia="仿宋" w:cs="仿宋"/>
          <w:sz w:val="32"/>
          <w:szCs w:val="32"/>
          <w:lang w:eastAsia="zh-CN"/>
        </w:rPr>
        <w:t>、农林水支出、</w:t>
      </w:r>
      <w:r>
        <w:rPr>
          <w:rFonts w:hint="eastAsia" w:ascii="仿宋" w:hAnsi="仿宋" w:eastAsia="仿宋" w:cs="仿宋"/>
          <w:sz w:val="32"/>
          <w:szCs w:val="32"/>
          <w:lang w:val="en-US" w:eastAsia="zh-CN"/>
        </w:rPr>
        <w:t>商业服务业等支出、</w:t>
      </w:r>
      <w:r>
        <w:rPr>
          <w:rFonts w:hint="eastAsia" w:ascii="仿宋" w:hAnsi="仿宋" w:eastAsia="仿宋" w:cs="仿宋"/>
          <w:sz w:val="32"/>
          <w:szCs w:val="32"/>
          <w:lang w:eastAsia="zh-CN"/>
        </w:rPr>
        <w:t>金融支出、住房保障支出</w:t>
      </w:r>
      <w:r>
        <w:rPr>
          <w:rFonts w:hint="eastAsia" w:ascii="仿宋" w:hAnsi="仿宋" w:eastAsia="仿宋" w:cs="仿宋"/>
          <w:sz w:val="32"/>
          <w:szCs w:val="32"/>
        </w:rPr>
        <w:t>。</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收支总预算</w:t>
      </w:r>
      <w:r>
        <w:rPr>
          <w:rFonts w:hint="eastAsia" w:ascii="仿宋" w:hAnsi="仿宋" w:eastAsia="仿宋" w:cs="仿宋"/>
          <w:sz w:val="32"/>
          <w:szCs w:val="32"/>
          <w:lang w:val="en-US" w:eastAsia="zh-CN"/>
        </w:rPr>
        <w:t>1661.71</w:t>
      </w:r>
      <w:r>
        <w:rPr>
          <w:rFonts w:hint="eastAsia" w:ascii="仿宋" w:hAnsi="仿宋" w:eastAsia="仿宋" w:cs="仿宋"/>
          <w:sz w:val="32"/>
          <w:szCs w:val="32"/>
        </w:rPr>
        <w:t>万元。</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2024年</w:t>
      </w:r>
      <w:r>
        <w:rPr>
          <w:rFonts w:hint="eastAsia" w:ascii="黑体" w:hAnsi="黑体" w:eastAsia="黑体" w:cs="Times New Roman"/>
          <w:sz w:val="32"/>
          <w:shd w:val="clear" w:color="auto" w:fill="FFFFFF"/>
        </w:rPr>
        <w:t>收入预算情况说明</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收入预算</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%。比上年预算数增加</w:t>
      </w:r>
      <w:r>
        <w:rPr>
          <w:rFonts w:hint="eastAsia" w:ascii="仿宋" w:hAnsi="仿宋" w:eastAsia="仿宋" w:cs="仿宋"/>
          <w:sz w:val="32"/>
          <w:szCs w:val="32"/>
          <w:lang w:eastAsia="zh-CN"/>
        </w:rPr>
        <w:t>12.67</w:t>
      </w:r>
      <w:r>
        <w:rPr>
          <w:rFonts w:hint="eastAsia" w:ascii="仿宋" w:hAnsi="仿宋" w:eastAsia="仿宋" w:cs="仿宋"/>
          <w:sz w:val="32"/>
          <w:szCs w:val="32"/>
        </w:rPr>
        <w:t>万元，主要是2024年新增金保贷风险防范金（200万元）、2024年省级的农民小额贷款贴息资金（742万元）需纳入部门预算，此外我局2023年6月新增了1名新入职员工，以及1名来琼服务博士挂职、新增乡村振兴帮扶联系人2名，挂职干部补贴及帮扶联系人下乡补贴等均需纳入部门预算。</w:t>
      </w:r>
      <w:r>
        <w:rPr>
          <w:rFonts w:hint="eastAsia" w:ascii="仿宋" w:hAnsi="仿宋" w:eastAsia="仿宋" w:cs="仿宋"/>
          <w:color w:val="auto"/>
          <w:sz w:val="32"/>
          <w:szCs w:val="32"/>
          <w:lang w:val="en-US" w:eastAsia="zh-CN"/>
        </w:rPr>
        <w:t>。</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2024年</w:t>
      </w:r>
      <w:r>
        <w:rPr>
          <w:rFonts w:hint="eastAsia" w:ascii="黑体" w:hAnsi="黑体" w:eastAsia="黑体" w:cs="Times New Roman"/>
          <w:sz w:val="32"/>
          <w:shd w:val="clear" w:color="auto" w:fill="FFFFFF"/>
        </w:rPr>
        <w:t>支出预算情况说明</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2024年</w:t>
      </w:r>
      <w:r>
        <w:rPr>
          <w:rFonts w:hint="eastAsia" w:ascii="仿宋" w:hAnsi="仿宋" w:eastAsia="仿宋" w:cs="仿宋"/>
          <w:sz w:val="32"/>
          <w:szCs w:val="32"/>
        </w:rPr>
        <w:t>支出预算</w:t>
      </w:r>
      <w:r>
        <w:rPr>
          <w:rFonts w:hint="eastAsia" w:ascii="仿宋" w:hAnsi="仿宋" w:eastAsia="仿宋" w:cs="仿宋"/>
          <w:sz w:val="32"/>
          <w:szCs w:val="32"/>
          <w:lang w:val="en-US" w:eastAsia="zh-CN"/>
        </w:rPr>
        <w:t>1661.71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399.74</w:t>
      </w:r>
      <w:r>
        <w:rPr>
          <w:rFonts w:hint="eastAsia" w:ascii="仿宋" w:hAnsi="仿宋" w:eastAsia="仿宋" w:cs="仿宋"/>
          <w:sz w:val="32"/>
          <w:szCs w:val="32"/>
        </w:rPr>
        <w:t>万元，占</w:t>
      </w:r>
      <w:r>
        <w:rPr>
          <w:rFonts w:hint="eastAsia" w:ascii="仿宋" w:hAnsi="仿宋" w:eastAsia="仿宋" w:cs="仿宋"/>
          <w:sz w:val="32"/>
          <w:szCs w:val="32"/>
          <w:lang w:val="en-US" w:eastAsia="zh-CN"/>
        </w:rPr>
        <w:t>24.05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1262</w:t>
      </w:r>
      <w:r>
        <w:rPr>
          <w:rFonts w:hint="eastAsia" w:ascii="仿宋" w:hAnsi="仿宋" w:eastAsia="仿宋" w:cs="仿宋"/>
          <w:sz w:val="32"/>
          <w:szCs w:val="32"/>
        </w:rPr>
        <w:t>万元，占</w:t>
      </w:r>
      <w:r>
        <w:rPr>
          <w:rFonts w:hint="eastAsia" w:ascii="仿宋" w:hAnsi="仿宋" w:eastAsia="仿宋" w:cs="仿宋"/>
          <w:sz w:val="32"/>
          <w:szCs w:val="32"/>
          <w:lang w:val="en-US" w:eastAsia="zh-CN"/>
        </w:rPr>
        <w:t>75.94</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54</w:t>
      </w:r>
      <w:r>
        <w:rPr>
          <w:rFonts w:hint="eastAsia" w:ascii="仿宋" w:hAnsi="仿宋" w:eastAsia="仿宋" w:cs="仿宋"/>
          <w:sz w:val="32"/>
          <w:szCs w:val="32"/>
        </w:rPr>
        <w:t>万元，</w:t>
      </w:r>
      <w:r>
        <w:rPr>
          <w:rFonts w:hint="eastAsia" w:ascii="仿宋" w:hAnsi="仿宋" w:eastAsia="仿宋" w:cs="仿宋"/>
          <w:color w:val="auto"/>
          <w:sz w:val="32"/>
          <w:szCs w:val="32"/>
          <w:lang w:val="en-US" w:eastAsia="zh-CN"/>
        </w:rPr>
        <w:t>主</w:t>
      </w:r>
      <w:r>
        <w:rPr>
          <w:rFonts w:hint="eastAsia" w:ascii="仿宋" w:hAnsi="仿宋" w:eastAsia="仿宋" w:cs="仿宋"/>
          <w:color w:val="auto"/>
          <w:sz w:val="32"/>
          <w:szCs w:val="32"/>
        </w:rPr>
        <w:t>要是</w:t>
      </w:r>
      <w:r>
        <w:rPr>
          <w:rFonts w:hint="eastAsia" w:ascii="仿宋" w:hAnsi="仿宋" w:eastAsia="仿宋" w:cs="仿宋"/>
          <w:color w:val="auto"/>
          <w:sz w:val="32"/>
          <w:szCs w:val="32"/>
          <w:lang w:val="en-US" w:eastAsia="zh-CN"/>
        </w:rPr>
        <w:t>2024年</w:t>
      </w:r>
      <w:r>
        <w:rPr>
          <w:rFonts w:hint="eastAsia" w:ascii="仿宋" w:hAnsi="仿宋" w:eastAsia="仿宋" w:cs="仿宋"/>
          <w:sz w:val="32"/>
          <w:szCs w:val="32"/>
        </w:rPr>
        <w:t>新增金保贷风险防范金</w:t>
      </w:r>
      <w:r>
        <w:rPr>
          <w:rFonts w:hint="eastAsia" w:ascii="仿宋" w:hAnsi="仿宋" w:eastAsia="仿宋" w:cs="仿宋"/>
          <w:color w:val="auto"/>
          <w:sz w:val="32"/>
          <w:szCs w:val="32"/>
          <w:lang w:val="en-US" w:eastAsia="zh-CN"/>
        </w:rPr>
        <w:t>、</w:t>
      </w:r>
      <w:r>
        <w:rPr>
          <w:rFonts w:hint="eastAsia" w:ascii="仿宋" w:hAnsi="仿宋" w:eastAsia="仿宋" w:cs="仿宋"/>
          <w:sz w:val="32"/>
          <w:szCs w:val="32"/>
        </w:rPr>
        <w:t>2024年省级的农民小额贷款贴息资金</w:t>
      </w:r>
      <w:r>
        <w:rPr>
          <w:rFonts w:hint="eastAsia" w:ascii="仿宋" w:hAnsi="仿宋" w:eastAsia="仿宋" w:cs="仿宋"/>
          <w:sz w:val="32"/>
          <w:szCs w:val="32"/>
          <w:lang w:eastAsia="zh-CN"/>
        </w:rPr>
        <w:t>、</w:t>
      </w:r>
      <w:r>
        <w:rPr>
          <w:rFonts w:hint="eastAsia" w:ascii="仿宋" w:hAnsi="仿宋" w:eastAsia="仿宋" w:cs="仿宋"/>
          <w:sz w:val="32"/>
          <w:szCs w:val="32"/>
        </w:rPr>
        <w:t>以及1名来琼服务博士挂职</w:t>
      </w:r>
      <w:r>
        <w:rPr>
          <w:rFonts w:hint="eastAsia" w:ascii="仿宋" w:hAnsi="仿宋" w:eastAsia="仿宋" w:cs="仿宋"/>
          <w:sz w:val="32"/>
          <w:szCs w:val="32"/>
          <w:lang w:eastAsia="zh-CN"/>
        </w:rPr>
        <w:t>的补贴费用等。</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2024年海口市金融管理局</w:t>
      </w:r>
      <w:r>
        <w:rPr>
          <w:rFonts w:hint="eastAsia" w:ascii="仿宋" w:hAnsi="仿宋" w:eastAsia="仿宋" w:cs="仿宋"/>
          <w:sz w:val="32"/>
          <w:szCs w:val="32"/>
        </w:rPr>
        <w:t>（部门本级）的机关运行经费预算</w:t>
      </w:r>
      <w:r>
        <w:rPr>
          <w:rFonts w:hint="eastAsia" w:ascii="仿宋" w:hAnsi="仿宋" w:eastAsia="仿宋" w:cs="仿宋"/>
          <w:color w:val="auto"/>
          <w:sz w:val="32"/>
          <w:szCs w:val="32"/>
          <w:lang w:val="en-US" w:eastAsia="zh-CN"/>
        </w:rPr>
        <w:t>39.64</w:t>
      </w:r>
      <w:r>
        <w:rPr>
          <w:rFonts w:hint="eastAsia" w:ascii="仿宋" w:hAnsi="仿宋" w:eastAsia="仿宋" w:cs="仿宋"/>
          <w:color w:val="auto"/>
          <w:sz w:val="32"/>
          <w:szCs w:val="32"/>
        </w:rPr>
        <w:t>万元</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（二）政府采购情况</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2024年海口市金融管理局</w:t>
      </w:r>
      <w:r>
        <w:rPr>
          <w:rFonts w:hint="eastAsia" w:ascii="仿宋" w:hAnsi="仿宋" w:eastAsia="仿宋" w:cs="仿宋"/>
          <w:sz w:val="32"/>
          <w:szCs w:val="32"/>
          <w:lang w:eastAsia="zh-CN"/>
        </w:rPr>
        <w:t>（部门）无</w:t>
      </w:r>
      <w:r>
        <w:rPr>
          <w:rFonts w:hint="eastAsia" w:ascii="仿宋" w:hAnsi="仿宋" w:eastAsia="仿宋" w:cs="仿宋"/>
          <w:sz w:val="32"/>
          <w:szCs w:val="32"/>
        </w:rPr>
        <w:t>政府采购预算。</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（三）国有资产占有使用情况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（部门）本级</w:t>
      </w:r>
      <w:r>
        <w:rPr>
          <w:rFonts w:hint="eastAsia" w:ascii="仿宋" w:hAnsi="仿宋" w:eastAsia="仿宋" w:cs="仿宋"/>
          <w:sz w:val="32"/>
          <w:szCs w:val="32"/>
          <w:lang w:eastAsia="zh-CN"/>
        </w:rPr>
        <w:t>（无</w:t>
      </w:r>
      <w:r>
        <w:rPr>
          <w:rFonts w:hint="eastAsia" w:ascii="仿宋" w:hAnsi="仿宋" w:eastAsia="仿宋" w:cs="仿宋"/>
          <w:sz w:val="32"/>
          <w:szCs w:val="32"/>
        </w:rPr>
        <w:t>下属</w:t>
      </w:r>
      <w:r>
        <w:rPr>
          <w:rFonts w:hint="eastAsia" w:ascii="仿宋" w:hAnsi="仿宋" w:eastAsia="仿宋" w:cs="仿宋"/>
          <w:sz w:val="32"/>
          <w:szCs w:val="32"/>
          <w:lang w:eastAsia="zh-CN"/>
        </w:rPr>
        <w:t>单位）</w:t>
      </w:r>
      <w:r>
        <w:rPr>
          <w:rFonts w:hint="eastAsia" w:ascii="仿宋" w:hAnsi="仿宋" w:eastAsia="仿宋" w:cs="仿宋"/>
          <w:sz w:val="32"/>
          <w:szCs w:val="32"/>
        </w:rPr>
        <w:t>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价值100万元以上设备。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17</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1661.71</w:t>
      </w:r>
      <w:r>
        <w:rPr>
          <w:rFonts w:hint="eastAsia" w:ascii="仿宋" w:hAnsi="仿宋" w:eastAsia="仿宋" w:cs="仿宋"/>
          <w:sz w:val="32"/>
          <w:szCs w:val="32"/>
        </w:rPr>
        <w:t>万元。</w:t>
      </w:r>
    </w:p>
    <w:p>
      <w:pPr>
        <w:spacing w:line="600" w:lineRule="exact"/>
        <w:ind w:firstLine="640" w:firstLineChars="200"/>
        <w:jc w:val="left"/>
        <w:rPr>
          <w:rFonts w:ascii="仿宋_GB2312" w:hAnsi="宋体" w:eastAsia="仿宋_GB2312" w:cs="宋体"/>
          <w:color w:val="000000"/>
          <w:kern w:val="0"/>
          <w:sz w:val="32"/>
          <w:szCs w:val="30"/>
        </w:rPr>
      </w:pPr>
    </w:p>
    <w:p>
      <w:pPr>
        <w:spacing w:line="60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600" w:lineRule="exact"/>
        <w:ind w:firstLine="640" w:firstLineChars="200"/>
        <w:jc w:val="left"/>
        <w:rPr>
          <w:rFonts w:ascii="仿宋_GB2312" w:eastAsia="仿宋_GB2312" w:cs="宋体"/>
          <w:bCs/>
          <w:color w:val="000000"/>
          <w:kern w:val="0"/>
          <w:sz w:val="32"/>
          <w:szCs w:val="32"/>
          <w:lang w:val="zh-CN"/>
        </w:rPr>
      </w:pP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60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600" w:lineRule="exact"/>
        <w:ind w:firstLine="0" w:firstLineChars="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lang w:val="en-US" w:eastAsia="zh-CN"/>
        </w:rPr>
        <w:t xml:space="preserve">    </w:t>
      </w:r>
      <w:bookmarkStart w:id="0" w:name="_GoBack"/>
      <w:bookmarkEnd w:id="0"/>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FangSong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B22DDB"/>
    <w:multiLevelType w:val="singleLevel"/>
    <w:tmpl w:val="3EB22DDB"/>
    <w:lvl w:ilvl="0" w:tentative="0">
      <w:start w:val="2"/>
      <w:numFmt w:val="chineseCounting"/>
      <w:suff w:val="space"/>
      <w:lvlText w:val="第%1部分"/>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jQ1NzFlNThlNzMwZDA4NGNlZjRmODYzNjBhMWQifQ=="/>
  </w:docVars>
  <w:rsids>
    <w:rsidRoot w:val="00000000"/>
    <w:rsid w:val="0BF058D1"/>
    <w:rsid w:val="1A157468"/>
    <w:rsid w:val="1F9D4FF1"/>
    <w:rsid w:val="263736B3"/>
    <w:rsid w:val="2E260C87"/>
    <w:rsid w:val="2ED3502B"/>
    <w:rsid w:val="31F25DB4"/>
    <w:rsid w:val="43DC3171"/>
    <w:rsid w:val="49470B3C"/>
    <w:rsid w:val="4ADD0B0F"/>
    <w:rsid w:val="576C118F"/>
    <w:rsid w:val="6E264DF0"/>
    <w:rsid w:val="6F8267FF"/>
    <w:rsid w:val="732D019A"/>
    <w:rsid w:val="76C7F126"/>
    <w:rsid w:val="788D6546"/>
    <w:rsid w:val="7DEBCAFF"/>
    <w:rsid w:val="7DFEBD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CM8"/>
    <w:basedOn w:val="11"/>
    <w:next w:val="11"/>
    <w:unhideWhenUsed/>
    <w:qFormat/>
    <w:uiPriority w:val="99"/>
    <w:pPr>
      <w:spacing w:beforeLines="0" w:afterLines="0"/>
    </w:pPr>
    <w:rPr>
      <w:rFonts w:hint="default"/>
      <w:sz w:val="24"/>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paragraph" w:customStyle="1" w:styleId="12">
    <w:name w:val="CM5"/>
    <w:basedOn w:val="11"/>
    <w:next w:val="11"/>
    <w:unhideWhenUsed/>
    <w:qFormat/>
    <w:uiPriority w:val="99"/>
    <w:pPr>
      <w:spacing w:beforeLines="0" w:afterLines="0" w:line="600" w:lineRule="atLeast"/>
    </w:pPr>
    <w:rPr>
      <w:rFonts w:hint="default"/>
      <w:sz w:val="24"/>
    </w:rPr>
  </w:style>
  <w:style w:type="paragraph" w:customStyle="1" w:styleId="13">
    <w:name w:val="CM6"/>
    <w:basedOn w:val="11"/>
    <w:next w:val="11"/>
    <w:unhideWhenUsed/>
    <w:qFormat/>
    <w:uiPriority w:val="99"/>
    <w:pPr>
      <w:spacing w:beforeLines="0" w:afterLines="0" w:line="600" w:lineRule="atLeast"/>
    </w:pPr>
    <w:rPr>
      <w:rFonts w:hint="default"/>
      <w:sz w:val="24"/>
    </w:rPr>
  </w:style>
  <w:style w:type="paragraph" w:customStyle="1" w:styleId="14">
    <w:name w:val="CM3"/>
    <w:basedOn w:val="11"/>
    <w:next w:val="11"/>
    <w:unhideWhenUsed/>
    <w:qFormat/>
    <w:uiPriority w:val="99"/>
    <w:pPr>
      <w:spacing w:beforeLines="0" w:afterLines="0" w:line="598" w:lineRule="atLeast"/>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40</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2024-02-06T15:46:11Z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DDBA3C4FC62141B7AD8BBA31E768F0C6</vt:lpwstr>
  </property>
</Properties>
</file>