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52"/>
          <w:szCs w:val="52"/>
          <w:lang w:val="en-US" w:eastAsia="zh-CN"/>
        </w:rPr>
        <w:t>2023</w:t>
      </w:r>
      <w:r>
        <w:rPr>
          <w:rFonts w:hint="eastAsia" w:asciiTheme="majorEastAsia" w:hAnsiTheme="majorEastAsia" w:eastAsiaTheme="majorEastAsia" w:cstheme="majorEastAsia"/>
          <w:sz w:val="52"/>
          <w:szCs w:val="52"/>
        </w:rPr>
        <w:t>年</w:t>
      </w:r>
      <w:r>
        <w:rPr>
          <w:rFonts w:hint="eastAsia" w:asciiTheme="majorEastAsia" w:hAnsiTheme="majorEastAsia" w:eastAsiaTheme="majorEastAsia" w:cstheme="majorEastAsia"/>
          <w:sz w:val="52"/>
          <w:szCs w:val="52"/>
          <w:lang w:val="en-US" w:eastAsia="zh-CN"/>
        </w:rPr>
        <w:t>海口市金融管理局</w:t>
      </w:r>
      <w:r>
        <w:rPr>
          <w:rFonts w:hint="eastAsia" w:asciiTheme="majorEastAsia" w:hAnsiTheme="majorEastAsia" w:eastAsiaTheme="majorEastAsia" w:cstheme="major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spacing w:line="560" w:lineRule="exact"/>
        <w:jc w:val="center"/>
        <w:rPr>
          <w:rFonts w:hint="eastAsia" w:ascii="黑体" w:hAnsi="黑体" w:eastAsia="黑体"/>
          <w:sz w:val="52"/>
          <w:szCs w:val="52"/>
        </w:rPr>
      </w:pPr>
      <w:r>
        <w:rPr>
          <w:rFonts w:hint="eastAsia" w:ascii="黑体" w:hAnsi="黑体" w:eastAsia="黑体"/>
          <w:sz w:val="52"/>
          <w:szCs w:val="52"/>
        </w:rPr>
        <w:t>目录</w:t>
      </w:r>
    </w:p>
    <w:p>
      <w:pPr>
        <w:spacing w:line="560" w:lineRule="exact"/>
        <w:jc w:val="center"/>
        <w:rPr>
          <w:rFonts w:hint="eastAsia" w:ascii="黑体" w:hAnsi="黑体" w:eastAsia="黑体"/>
          <w:sz w:val="52"/>
          <w:szCs w:val="52"/>
        </w:rPr>
      </w:pPr>
    </w:p>
    <w:p>
      <w:pPr>
        <w:pStyle w:val="6"/>
        <w:numPr>
          <w:ilvl w:val="0"/>
          <w:numId w:val="1"/>
        </w:numPr>
        <w:spacing w:line="560"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（部门）概况</w:t>
      </w:r>
    </w:p>
    <w:p>
      <w:pPr>
        <w:pStyle w:val="6"/>
        <w:numPr>
          <w:ilvl w:val="0"/>
          <w:numId w:val="2"/>
        </w:numPr>
        <w:spacing w:line="560"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60"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6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年部门预算情况说明</w:t>
      </w:r>
    </w:p>
    <w:p>
      <w:pPr>
        <w:pStyle w:val="6"/>
        <w:numPr>
          <w:ilvl w:val="0"/>
          <w:numId w:val="1"/>
        </w:numPr>
        <w:spacing w:line="56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spacing w:line="560" w:lineRule="exact"/>
        <w:ind w:left="1320" w:firstLine="0" w:firstLineChars="0"/>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pStyle w:val="6"/>
        <w:numPr>
          <w:ilvl w:val="0"/>
          <w:numId w:val="4"/>
        </w:numPr>
        <w:spacing w:line="560"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（部门）概况</w:t>
      </w:r>
    </w:p>
    <w:p>
      <w:pPr>
        <w:spacing w:line="560" w:lineRule="exact"/>
        <w:jc w:val="left"/>
        <w:rPr>
          <w:rFonts w:ascii="仿宋_GB2312" w:hAnsi="仿宋_GB2312" w:eastAsia="仿宋_GB2312" w:cs="仿宋_GB2312"/>
          <w:sz w:val="32"/>
          <w:szCs w:val="32"/>
        </w:rPr>
      </w:pPr>
    </w:p>
    <w:p>
      <w:pPr>
        <w:pStyle w:val="6"/>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spacing w:line="56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rPr>
        <w:t>市金融管理局贯彻执行党中央的方针政策、法律法规，落实省委省政府、市委市政府决策部署以及海南自由贸易港建设的政策措施，在履职过程中坚持和加强党对金融工作的集中统一领导，主要职责是：</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研究拟订并组织实施全市金融工作政策规定、规章制度和工作规划，研究提出海南自由贸易港建设金融工作方面的意见和建议。</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联系中央驻琼金融监管机构、各类金融机构，协助中央驻琼金融监管机构依法对全市金融机构进行监管。</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组织开展政府与金融机构合作、金融机构和企业对接，引导、协调金融机构支持全市经济社会工作。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推动建立与海南自由贸易港相适应的金融开放模式。研究推进跨境贸易投融资自由便利的政策体系和政策措施。</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研究分析国家、省有关金融政策、宏观经济金融形势</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和全市金融运行情况，引导、协调金融机构为重点领域、重点工程、重点项目、重点区域和中小微企业提供投融资服务。</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承担属地金融服务责任，协助省金融监管局监管辖区内小额贷款公司、融资担保公司、区域性股权交易市场、典当行、融资租赁公司、商业保理公司、地方资产管理公司，网络借贷中介机构以及开展信用互助的农民专业合作社（含农民资金机构）、投资公司、社会众筹机构、地方各类交易场所等机构(场所)的风险处置。</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承担属地金融风险防范化解责任，牵头负责防范、打击和处置非法集资工作。负责建立与省金融信息共享、金融风险处置、业务工作联系机制。会同有关部门做好海口市维稳及金融突发事件应急处置相关工作。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促进全市多层次资本市场建设，指导推进企业改制上市、基金设立等工作，指导协调上市公司再融资及并购重组工作。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推动农民小额贷款、金融扶贫等普惠金融工作以及科技金融工作。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贯彻落实国家和省绿色金融的政策方针，协调推进国家、省对海口绿色金融的政策支持，推进绿色金融和绿色产业工作。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配合推动全市金融人力资源开发和金融人才队伍建设工作。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完成省委省政府、市委市政府交办的其他事项。</w:t>
      </w:r>
    </w:p>
    <w:p>
      <w:pPr>
        <w:pStyle w:val="10"/>
        <w:spacing w:beforeLines="0" w:after="215" w:afterLines="0" w:line="560" w:lineRule="exact"/>
        <w:ind w:left="637"/>
        <w:rPr>
          <w:rFonts w:hint="eastAsia" w:ascii="FangSong_GB2312" w:hAnsi="FangSong_GB2312" w:eastAsia="FangSong_GB2312"/>
          <w:sz w:val="32"/>
        </w:rPr>
      </w:pPr>
      <w:r>
        <w:rPr>
          <w:rFonts w:hint="eastAsia" w:ascii="仿宋" w:hAnsi="仿宋" w:eastAsia="仿宋" w:cs="仿宋"/>
          <w:sz w:val="32"/>
        </w:rPr>
        <w:t>市金融管理局设下列内设机构：</w:t>
      </w:r>
    </w:p>
    <w:p>
      <w:pPr>
        <w:spacing w:beforeLines="0" w:afterLines="0" w:line="560" w:lineRule="exact"/>
        <w:ind w:firstLine="637"/>
        <w:jc w:val="left"/>
        <w:rPr>
          <w:rFonts w:hint="eastAsia" w:ascii="仿宋" w:hAnsi="仿宋" w:eastAsia="仿宋" w:cs="仿宋"/>
          <w:sz w:val="32"/>
        </w:rPr>
      </w:pPr>
      <w:r>
        <w:rPr>
          <w:rFonts w:hint="eastAsia" w:ascii="仿宋" w:hAnsi="仿宋" w:eastAsia="仿宋" w:cs="仿宋"/>
          <w:sz w:val="32"/>
        </w:rPr>
        <w:t>（一）办公室</w:t>
      </w:r>
    </w:p>
    <w:p>
      <w:pPr>
        <w:pStyle w:val="12"/>
        <w:spacing w:beforeLines="0" w:afterLines="0" w:line="560" w:lineRule="exact"/>
        <w:ind w:firstLine="637"/>
        <w:rPr>
          <w:rFonts w:hint="eastAsia" w:ascii="FangSong_GB2312" w:hAnsi="FangSong_GB2312" w:eastAsia="FangSong_GB2312"/>
          <w:sz w:val="32"/>
        </w:rPr>
      </w:pPr>
      <w:r>
        <w:rPr>
          <w:rFonts w:hint="eastAsia" w:ascii="FangSong_GB2312" w:hAnsi="FangSong_GB2312" w:eastAsia="FangSong_GB2312"/>
          <w:sz w:val="32"/>
        </w:rPr>
        <w:t>负责起草有关综合性文件和工作总结报告；负责制定和实施机关内部规章制度；负责文电、会务、机要、档案、安全保卫及后勤保障等机关日常工作；承担保密、财务资产、</w:t>
      </w:r>
      <w:r>
        <w:rPr>
          <w:rFonts w:hint="eastAsia"/>
          <w:sz w:val="32"/>
          <w:lang w:eastAsia="zh-CN"/>
        </w:rPr>
        <w:t>政府</w:t>
      </w:r>
      <w:r>
        <w:rPr>
          <w:rFonts w:hint="eastAsia" w:ascii="FangSong_GB2312" w:hAnsi="FangSong_GB2312" w:eastAsia="FangSong_GB2312"/>
          <w:sz w:val="32"/>
        </w:rPr>
        <w:t>信息公开及人大建议、政协提案办理等工作；统筹做好定点扶贫和乡村振兴工作，负责机构编制、人事管理、队伍建设、老干部服务、群团工作；负责机关党的建设、党风廉政和反腐败工作；会同有关部门落实促进金融人才工作的政策措施。</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（二）自贸金融科</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研究起草本市金融相关规范性文件，拟订全市金融业发展规划和鼓励金融业发展的政策措施；推进金融业改革开放，研究提出支持自由贸易港建设和优化金融服务的政策建议，协调推动建立与自贸港相适应的金融开放模式，落实外汇管理制度改革、跨境人民币业务及离岸金融有关工作，积极服务跨境贸易投资自由便利；配合推进自由贸易账户体系建设和相关风险监督与评估；研究分析国家、省里有关金融政策、宏观经济金融形势和全市金融运行情况；协调落实市政府与金融机构的战略合作；负责协调金融招商工作；负责绿色金融、金融科技创新发展相关工作；负</w:t>
      </w:r>
    </w:p>
    <w:p>
      <w:pPr>
        <w:pageBreakBefore w:val="0"/>
        <w:spacing w:beforeLines="0" w:afterLines="0" w:line="560" w:lineRule="exact"/>
        <w:jc w:val="left"/>
        <w:rPr>
          <w:rFonts w:hint="eastAsia" w:ascii="仿宋" w:hAnsi="仿宋" w:eastAsia="仿宋" w:cs="仿宋"/>
          <w:sz w:val="32"/>
        </w:rPr>
      </w:pPr>
      <w:r>
        <w:rPr>
          <w:rFonts w:hint="eastAsia" w:ascii="仿宋" w:hAnsi="仿宋" w:eastAsia="仿宋" w:cs="仿宋"/>
          <w:sz w:val="32"/>
        </w:rPr>
        <w:t>责全市金融运行情况以及金融数据统计分析和报表汇总工作。</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（三）银行保险科</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负责联系和服务海口银行保险机构，推动相关改革工作；协助推动海口市法人银行、保险机构等非银机构的改革、创新和发展；负责协调推进政银企对接活动；负责开发中小微企业融资风险分担产品和服务工作；协助中央驻琼金融监管机构对各银行保险机构的监管以及防范、处置、化解银行保险机构的金融风险；协助完善地方银行保险业综合风险防范系统，加强日常监测和数据分析；指导和督促银行保险业相关自律组织的活动；承担全市农民小额贷款、金融扶贫工作；编制上述机构的数据统计和报表汇总工作。</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（四）资本市场科</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协助中央驻琼金融监管机构和省金融监管局对辖区证券、期货、基金业金融机构和区域性股权市场、地方各类交易场所的报批和监督管理；负责全市多层次资本市场建设，建立全市上市后备企业资源库，推进企业直接融资工作；编制上述机构（场所）的经营数据统计报表，加强日常监测和数据分析；指导和监督相关自律组织的活动。</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（五）金融稳定科</w:t>
      </w:r>
    </w:p>
    <w:p>
      <w:pPr>
        <w:pStyle w:val="13"/>
        <w:spacing w:beforeLines="0" w:afterLines="0" w:line="560" w:lineRule="exact"/>
        <w:ind w:right="147" w:firstLine="637"/>
        <w:rPr>
          <w:rFonts w:hint="eastAsia" w:ascii="仿宋" w:hAnsi="仿宋" w:eastAsia="仿宋" w:cs="仿宋"/>
          <w:sz w:val="32"/>
        </w:rPr>
      </w:pPr>
      <w:r>
        <w:rPr>
          <w:rFonts w:hint="eastAsia" w:ascii="仿宋" w:hAnsi="仿宋" w:eastAsia="仿宋" w:cs="仿宋"/>
          <w:sz w:val="32"/>
        </w:rPr>
        <w:t>协助中央驻琼金融监管机构和省金融监管局对辖区内的融资担保公司、社会众筹机构、网络借贷中介机构、开展信用互助的农民专业合作社、小额贷款公司、典当行、融资租赁公司、商业保理公司、地方资产管理公司以及投资公司等地方金融机构或类金融机构的报批和监督管理，以及防范、处置、化解金融风险问题；负责全市辖区打击和处置非法集资工作；开展金融安全知识宣传普及和打击、处置非法集资宣传工作；建立金融风险预警体系，配合省金融监管局做好地方金融综合风险防范系统建设等相关工作，组织协调金融突发事件应急工作，制定实施全市金融安全生产应急预案以及地方金融风险防范和化解的政策措施；配合有关部门查处、打击非法金融机构和非法金融业务活动；制定金融突发事件处置措施和处置程序，协调处置金融风险事件；加强日常监测和数据分析；负责本单位信访统筹协调工作；负责本单位信息化项目建设管理、科技服务工作，负责本单位信息与政府相关信息系统的数据共享和应用。</w:t>
      </w:r>
    </w:p>
    <w:p>
      <w:pPr>
        <w:pStyle w:val="13"/>
        <w:ind w:right="147" w:firstLine="637"/>
        <w:rPr>
          <w:rFonts w:ascii="仿宋_GB2312" w:hAnsi="黑体" w:eastAsia="仿宋_GB2312" w:cs="仿宋_GB2312"/>
          <w:sz w:val="32"/>
          <w:szCs w:val="32"/>
        </w:rPr>
      </w:pPr>
      <w:r>
        <w:rPr>
          <w:rFonts w:hint="eastAsia" w:ascii="仿宋" w:hAnsi="仿宋" w:eastAsia="仿宋" w:cs="仿宋"/>
          <w:sz w:val="32"/>
        </w:rPr>
        <w:t>市金融管理局行政编制20名。设局长1名，副局长3名。科级领导职数10名，其中正科级6名（含党支部专职副书记1名），副科级4名。</w:t>
      </w:r>
    </w:p>
    <w:p>
      <w:pPr>
        <w:pStyle w:val="6"/>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560" w:lineRule="exact"/>
        <w:ind w:firstLine="800" w:firstLineChars="250"/>
        <w:jc w:val="left"/>
        <w:rPr>
          <w:rFonts w:hint="eastAsia" w:ascii="仿宋" w:hAnsi="仿宋" w:eastAsia="仿宋" w:cs="仿宋"/>
          <w:sz w:val="32"/>
          <w:szCs w:val="32"/>
          <w:lang w:val="en-US" w:eastAsia="zh-CN"/>
        </w:rPr>
      </w:pPr>
      <w:r>
        <w:rPr>
          <w:rFonts w:hint="eastAsia" w:ascii="仿宋" w:hAnsi="仿宋" w:eastAsia="仿宋" w:cs="仿宋"/>
          <w:sz w:val="32"/>
          <w:szCs w:val="32"/>
        </w:rPr>
        <w:t>纳入</w:t>
      </w:r>
      <w:r>
        <w:rPr>
          <w:rFonts w:hint="eastAsia" w:ascii="仿宋" w:hAnsi="仿宋" w:eastAsia="仿宋" w:cs="仿宋"/>
          <w:sz w:val="32"/>
          <w:szCs w:val="32"/>
          <w:lang w:val="en-US" w:eastAsia="zh-CN"/>
        </w:rPr>
        <w:t>海口市金融管理局2023</w:t>
      </w:r>
      <w:r>
        <w:rPr>
          <w:rFonts w:hint="eastAsia" w:ascii="仿宋" w:hAnsi="仿宋" w:eastAsia="仿宋" w:cs="仿宋"/>
          <w:sz w:val="32"/>
          <w:szCs w:val="32"/>
        </w:rPr>
        <w:t>年部门预算编制范围的</w:t>
      </w:r>
      <w:r>
        <w:rPr>
          <w:rFonts w:hint="eastAsia" w:ascii="仿宋" w:hAnsi="仿宋" w:eastAsia="仿宋" w:cs="仿宋"/>
          <w:sz w:val="32"/>
          <w:szCs w:val="32"/>
          <w:lang w:val="en-US" w:eastAsia="zh-CN"/>
        </w:rPr>
        <w:t>仅为本</w:t>
      </w:r>
      <w:r>
        <w:rPr>
          <w:rFonts w:hint="eastAsia" w:ascii="仿宋" w:hAnsi="仿宋" w:eastAsia="仿宋" w:cs="仿宋"/>
          <w:sz w:val="32"/>
          <w:szCs w:val="32"/>
        </w:rPr>
        <w:t>级预算单位</w:t>
      </w:r>
      <w:r>
        <w:rPr>
          <w:rFonts w:hint="eastAsia" w:ascii="仿宋" w:hAnsi="仿宋" w:eastAsia="仿宋" w:cs="仿宋"/>
          <w:sz w:val="32"/>
          <w:szCs w:val="32"/>
          <w:lang w:eastAsia="zh-CN"/>
        </w:rPr>
        <w:t>。</w:t>
      </w:r>
    </w:p>
    <w:p>
      <w:pPr>
        <w:numPr>
          <w:ilvl w:val="0"/>
          <w:numId w:val="7"/>
        </w:numPr>
        <w:spacing w:line="560" w:lineRule="exact"/>
        <w:ind w:firstLine="640" w:firstLineChars="200"/>
        <w:rPr>
          <w:rFonts w:hint="eastAsia" w:ascii="黑体" w:hAnsi="黑体" w:eastAsia="黑体"/>
          <w:sz w:val="32"/>
          <w:szCs w:val="32"/>
        </w:rPr>
      </w:pP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2023年</w:t>
      </w:r>
      <w:r>
        <w:rPr>
          <w:rFonts w:hint="eastAsia" w:ascii="黑体" w:hAnsi="黑体" w:eastAsia="黑体"/>
          <w:sz w:val="32"/>
          <w:szCs w:val="32"/>
        </w:rPr>
        <w:t>部门预算表</w:t>
      </w:r>
    </w:p>
    <w:p>
      <w:pPr>
        <w:spacing w:line="240" w:lineRule="auto"/>
        <w:ind w:left="800" w:firstLine="0" w:firstLineChars="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仿宋_GB2312" w:hAnsi="黑体" w:eastAsia="仿宋_GB2312"/>
          <w:b/>
          <w:sz w:val="32"/>
          <w:szCs w:val="32"/>
        </w:rPr>
        <w:t>（此部分内容</w:t>
      </w:r>
      <w:r>
        <w:rPr>
          <w:rFonts w:hint="eastAsia" w:ascii="仿宋_GB2312" w:hAnsi="黑体" w:eastAsia="仿宋_GB2312"/>
          <w:b/>
          <w:sz w:val="32"/>
          <w:szCs w:val="32"/>
          <w:lang w:val="en-US" w:eastAsia="zh-CN"/>
        </w:rPr>
        <w:t>详见部门</w:t>
      </w:r>
      <w:r>
        <w:rPr>
          <w:rFonts w:hint="eastAsia" w:ascii="仿宋_GB2312" w:hAnsi="黑体" w:eastAsia="仿宋_GB2312"/>
          <w:b/>
          <w:sz w:val="32"/>
          <w:szCs w:val="32"/>
        </w:rPr>
        <w:t>预算公开表）</w:t>
      </w:r>
    </w:p>
    <w:p>
      <w:pPr>
        <w:numPr>
          <w:ilvl w:val="-1"/>
          <w:numId w:val="0"/>
        </w:numPr>
        <w:spacing w:line="560" w:lineRule="exact"/>
        <w:ind w:firstLine="0" w:firstLineChars="0"/>
        <w:rPr>
          <w:rFonts w:hint="eastAsia" w:ascii="黑体" w:hAnsi="黑体" w:eastAsia="黑体"/>
          <w:sz w:val="32"/>
          <w:szCs w:val="32"/>
        </w:rPr>
      </w:pPr>
    </w:p>
    <w:p>
      <w:pPr>
        <w:spacing w:line="560" w:lineRule="exact"/>
        <w:ind w:firstLine="480" w:firstLineChars="15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黑体" w:hAnsi="黑体" w:eastAsia="黑体" w:cs="黑体"/>
          <w:sz w:val="32"/>
          <w:szCs w:val="32"/>
          <w:lang w:val="en-US" w:eastAsia="zh-CN"/>
        </w:rPr>
        <w:t>2023年</w:t>
      </w:r>
      <w:r>
        <w:rPr>
          <w:rFonts w:hint="eastAsia" w:ascii="黑体" w:hAnsi="黑体" w:eastAsia="黑体"/>
          <w:sz w:val="32"/>
          <w:szCs w:val="32"/>
        </w:rPr>
        <w:t>部门（预算情况说明</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2023年</w:t>
      </w:r>
      <w:r>
        <w:rPr>
          <w:rFonts w:hint="eastAsia" w:ascii="黑体" w:hAnsi="黑体" w:eastAsia="黑体"/>
          <w:sz w:val="32"/>
          <w:szCs w:val="32"/>
        </w:rPr>
        <w:t>财政拨款收支预算情况的总体说明</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财政拨款收支总预算</w:t>
      </w:r>
      <w:r>
        <w:rPr>
          <w:rFonts w:hint="eastAsia" w:ascii="仿宋" w:hAnsi="仿宋" w:eastAsia="仿宋" w:cs="仿宋"/>
          <w:sz w:val="32"/>
          <w:szCs w:val="32"/>
          <w:lang w:val="en-US" w:eastAsia="zh-CN"/>
        </w:rPr>
        <w:t>1649.04</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1649.04</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1649.04</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1649.04</w:t>
      </w:r>
      <w:r>
        <w:rPr>
          <w:rFonts w:hint="eastAsia" w:ascii="仿宋" w:hAnsi="仿宋" w:eastAsia="仿宋" w:cs="仿宋"/>
          <w:sz w:val="32"/>
          <w:szCs w:val="32"/>
        </w:rPr>
        <w:t>万元，包括</w:t>
      </w:r>
      <w:r>
        <w:rPr>
          <w:rFonts w:hint="eastAsia" w:ascii="仿宋" w:hAnsi="仿宋" w:eastAsia="仿宋" w:cs="仿宋"/>
          <w:sz w:val="32"/>
          <w:szCs w:val="32"/>
          <w:lang w:val="en-US" w:eastAsia="zh-CN"/>
        </w:rPr>
        <w:t>一般公共服务支出220万元、</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38.04</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31.98</w:t>
      </w:r>
      <w:r>
        <w:rPr>
          <w:rFonts w:hint="eastAsia" w:ascii="仿宋" w:hAnsi="仿宋" w:eastAsia="仿宋" w:cs="仿宋"/>
          <w:sz w:val="32"/>
          <w:szCs w:val="32"/>
        </w:rPr>
        <w:t>万元、农林水支出</w:t>
      </w:r>
      <w:r>
        <w:rPr>
          <w:rFonts w:hint="eastAsia" w:ascii="仿宋" w:hAnsi="仿宋" w:eastAsia="仿宋" w:cs="仿宋"/>
          <w:sz w:val="32"/>
          <w:szCs w:val="32"/>
          <w:lang w:val="en-US" w:eastAsia="zh-CN"/>
        </w:rPr>
        <w:t>961</w:t>
      </w:r>
      <w:r>
        <w:rPr>
          <w:rFonts w:hint="eastAsia" w:ascii="仿宋" w:hAnsi="仿宋" w:eastAsia="仿宋" w:cs="仿宋"/>
          <w:sz w:val="32"/>
          <w:szCs w:val="32"/>
        </w:rPr>
        <w:t>万元、</w:t>
      </w:r>
      <w:r>
        <w:rPr>
          <w:rFonts w:hint="eastAsia" w:ascii="仿宋" w:hAnsi="仿宋" w:eastAsia="仿宋" w:cs="仿宋"/>
          <w:sz w:val="32"/>
          <w:szCs w:val="32"/>
          <w:lang w:val="en-US" w:eastAsia="zh-CN"/>
        </w:rPr>
        <w:t>商业服务业等支出135万元、</w:t>
      </w:r>
      <w:r>
        <w:rPr>
          <w:rFonts w:hint="eastAsia" w:ascii="仿宋" w:hAnsi="仿宋" w:eastAsia="仿宋" w:cs="仿宋"/>
          <w:sz w:val="32"/>
          <w:szCs w:val="32"/>
        </w:rPr>
        <w:t>金融支出</w:t>
      </w:r>
      <w:r>
        <w:rPr>
          <w:rFonts w:hint="eastAsia" w:ascii="仿宋" w:hAnsi="仿宋" w:eastAsia="仿宋" w:cs="仿宋"/>
          <w:sz w:val="32"/>
          <w:szCs w:val="32"/>
          <w:lang w:val="en-US" w:eastAsia="zh-CN"/>
        </w:rPr>
        <w:t>239.94万元</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23.08万元，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2023年</w:t>
      </w:r>
      <w:r>
        <w:rPr>
          <w:rFonts w:hint="eastAsia" w:ascii="黑体" w:hAnsi="黑体" w:eastAsia="黑体"/>
          <w:sz w:val="32"/>
          <w:szCs w:val="32"/>
        </w:rPr>
        <w:t>一般公共预算当年拨款情况说明</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（一）一般公共预算当年规模变化情况</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一般公共预算当年拨款</w:t>
      </w:r>
      <w:r>
        <w:rPr>
          <w:rFonts w:hint="eastAsia" w:ascii="仿宋" w:hAnsi="仿宋" w:eastAsia="仿宋" w:cs="仿宋"/>
          <w:sz w:val="32"/>
          <w:szCs w:val="32"/>
          <w:lang w:val="en-US" w:eastAsia="zh-CN"/>
        </w:rPr>
        <w:t>1649.04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1038.3</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2023年需拨付海南省清算中心房租补贴（135万元），2023年省级的农民小额贷款贴息资金（961万元）需纳入部门预算，此外我局2023年新增了4名新入职员工以及1名来琼挂职干部，需将挂职干部的生活补贴等纳入部门预算。</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spacing w:line="560" w:lineRule="exact"/>
        <w:ind w:firstLine="800" w:firstLineChars="25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一般公共服务支出220万元，占13.34%；</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38.04</w:t>
      </w:r>
      <w:r>
        <w:rPr>
          <w:rFonts w:hint="eastAsia" w:ascii="仿宋" w:hAnsi="仿宋" w:eastAsia="仿宋" w:cs="仿宋"/>
          <w:sz w:val="32"/>
          <w:szCs w:val="32"/>
        </w:rPr>
        <w:t>万元，占</w:t>
      </w:r>
      <w:r>
        <w:rPr>
          <w:rFonts w:hint="eastAsia" w:ascii="仿宋" w:hAnsi="仿宋" w:eastAsia="仿宋" w:cs="仿宋"/>
          <w:sz w:val="32"/>
          <w:szCs w:val="32"/>
          <w:lang w:val="en-US" w:eastAsia="zh-CN"/>
        </w:rPr>
        <w:t>2.3</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31.98</w:t>
      </w:r>
      <w:r>
        <w:rPr>
          <w:rFonts w:hint="eastAsia" w:ascii="仿宋" w:hAnsi="仿宋" w:eastAsia="仿宋" w:cs="仿宋"/>
          <w:sz w:val="32"/>
          <w:szCs w:val="32"/>
        </w:rPr>
        <w:t>万元，占</w:t>
      </w:r>
      <w:r>
        <w:rPr>
          <w:rFonts w:hint="eastAsia" w:ascii="仿宋" w:hAnsi="仿宋" w:eastAsia="仿宋" w:cs="仿宋"/>
          <w:sz w:val="32"/>
          <w:szCs w:val="32"/>
          <w:lang w:val="en-US" w:eastAsia="zh-CN"/>
        </w:rPr>
        <w:t>1.93</w:t>
      </w:r>
      <w:r>
        <w:rPr>
          <w:rFonts w:hint="eastAsia" w:ascii="仿宋" w:hAnsi="仿宋" w:eastAsia="仿宋" w:cs="仿宋"/>
          <w:sz w:val="32"/>
          <w:szCs w:val="32"/>
        </w:rPr>
        <w:t>%；农林水支出</w:t>
      </w:r>
      <w:r>
        <w:rPr>
          <w:rFonts w:hint="eastAsia" w:ascii="仿宋" w:hAnsi="仿宋" w:eastAsia="仿宋" w:cs="仿宋"/>
          <w:sz w:val="32"/>
          <w:szCs w:val="32"/>
          <w:lang w:val="en-US" w:eastAsia="zh-CN"/>
        </w:rPr>
        <w:t>961</w:t>
      </w:r>
      <w:r>
        <w:rPr>
          <w:rFonts w:hint="eastAsia" w:ascii="仿宋" w:hAnsi="仿宋" w:eastAsia="仿宋" w:cs="仿宋"/>
          <w:sz w:val="32"/>
          <w:szCs w:val="32"/>
        </w:rPr>
        <w:t>万元，占</w:t>
      </w:r>
      <w:r>
        <w:rPr>
          <w:rFonts w:hint="eastAsia" w:ascii="仿宋" w:hAnsi="仿宋" w:eastAsia="仿宋" w:cs="仿宋"/>
          <w:sz w:val="32"/>
          <w:szCs w:val="32"/>
          <w:lang w:val="en-US" w:eastAsia="zh-CN"/>
        </w:rPr>
        <w:t>58.27</w:t>
      </w:r>
      <w:r>
        <w:rPr>
          <w:rFonts w:hint="eastAsia" w:ascii="仿宋" w:hAnsi="仿宋" w:eastAsia="仿宋" w:cs="仿宋"/>
          <w:sz w:val="32"/>
          <w:szCs w:val="32"/>
        </w:rPr>
        <w:t>%；</w:t>
      </w:r>
      <w:r>
        <w:rPr>
          <w:rFonts w:hint="eastAsia" w:ascii="仿宋" w:hAnsi="仿宋" w:eastAsia="仿宋" w:cs="仿宋"/>
          <w:sz w:val="32"/>
          <w:szCs w:val="32"/>
          <w:lang w:val="en-US" w:eastAsia="zh-CN"/>
        </w:rPr>
        <w:t>商业服务业等支出135万元，占8.19%，</w:t>
      </w:r>
      <w:r>
        <w:rPr>
          <w:rFonts w:hint="eastAsia" w:ascii="仿宋" w:hAnsi="仿宋" w:eastAsia="仿宋" w:cs="仿宋"/>
          <w:sz w:val="32"/>
          <w:szCs w:val="32"/>
        </w:rPr>
        <w:t>金融支出</w:t>
      </w:r>
      <w:r>
        <w:rPr>
          <w:rFonts w:hint="eastAsia" w:ascii="仿宋" w:hAnsi="仿宋" w:eastAsia="仿宋" w:cs="仿宋"/>
          <w:sz w:val="32"/>
          <w:szCs w:val="32"/>
          <w:lang w:val="en-US" w:eastAsia="zh-CN"/>
        </w:rPr>
        <w:t>239.94万元</w:t>
      </w:r>
      <w:r>
        <w:rPr>
          <w:rFonts w:hint="eastAsia" w:ascii="仿宋" w:hAnsi="仿宋" w:eastAsia="仿宋" w:cs="仿宋"/>
          <w:sz w:val="32"/>
          <w:szCs w:val="32"/>
        </w:rPr>
        <w:t>，占</w:t>
      </w:r>
      <w:r>
        <w:rPr>
          <w:rFonts w:hint="eastAsia" w:ascii="仿宋" w:hAnsi="仿宋" w:eastAsia="仿宋" w:cs="仿宋"/>
          <w:sz w:val="32"/>
          <w:szCs w:val="32"/>
          <w:lang w:val="en-US" w:eastAsia="zh-CN"/>
        </w:rPr>
        <w:t>14.55</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23.08万元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1.4</w:t>
      </w:r>
      <w:r>
        <w:rPr>
          <w:rFonts w:hint="eastAsia" w:ascii="仿宋" w:hAnsi="仿宋" w:eastAsia="仿宋" w:cs="仿宋"/>
          <w:sz w:val="32"/>
          <w:szCs w:val="32"/>
        </w:rPr>
        <w:t>%</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（三）一般公共预算当年拨款具体使用情况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金融支出</w:t>
      </w:r>
      <w:r>
        <w:rPr>
          <w:rFonts w:hint="eastAsia" w:ascii="仿宋" w:hAnsi="仿宋" w:eastAsia="仿宋" w:cs="仿宋"/>
          <w:sz w:val="32"/>
          <w:szCs w:val="32"/>
        </w:rPr>
        <w:t>（类） 金融部门行政支出（款）行政运行（项）</w:t>
      </w:r>
      <w:r>
        <w:rPr>
          <w:rFonts w:hint="eastAsia" w:ascii="仿宋" w:hAnsi="仿宋" w:eastAsia="仿宋" w:cs="仿宋"/>
          <w:sz w:val="32"/>
          <w:szCs w:val="32"/>
          <w:lang w:val="en-US" w:eastAsia="zh-CN"/>
        </w:rPr>
        <w:t>2023年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239.94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96.66</w:t>
      </w:r>
      <w:r>
        <w:rPr>
          <w:rFonts w:hint="eastAsia" w:ascii="仿宋" w:hAnsi="仿宋" w:eastAsia="仿宋" w:cs="仿宋"/>
          <w:sz w:val="32"/>
          <w:szCs w:val="32"/>
        </w:rPr>
        <w:t>，主要是</w:t>
      </w:r>
      <w:r>
        <w:rPr>
          <w:rFonts w:hint="eastAsia" w:ascii="仿宋" w:hAnsi="仿宋" w:eastAsia="仿宋" w:cs="仿宋"/>
          <w:sz w:val="32"/>
          <w:szCs w:val="32"/>
          <w:lang w:val="en-US" w:eastAsia="zh-CN"/>
        </w:rPr>
        <w:t>2022年我局有新入职人员，维持机关日常运转的所需费用也相应增加。。</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2. </w:t>
      </w:r>
      <w:r>
        <w:rPr>
          <w:rFonts w:hint="eastAsia" w:ascii="仿宋" w:hAnsi="仿宋" w:eastAsia="仿宋" w:cs="仿宋"/>
          <w:sz w:val="32"/>
          <w:szCs w:val="32"/>
          <w:lang w:eastAsia="zh-CN"/>
        </w:rPr>
        <w:t>金融支出</w:t>
      </w:r>
      <w:r>
        <w:rPr>
          <w:rFonts w:hint="eastAsia" w:ascii="仿宋" w:hAnsi="仿宋" w:eastAsia="仿宋" w:cs="仿宋"/>
          <w:sz w:val="32"/>
          <w:szCs w:val="32"/>
        </w:rPr>
        <w:t>（类）金融部门行政支出（款）一般行政管理事务（项）</w:t>
      </w:r>
      <w:r>
        <w:rPr>
          <w:rFonts w:hint="eastAsia" w:ascii="仿宋" w:hAnsi="仿宋" w:eastAsia="仿宋" w:cs="仿宋"/>
          <w:sz w:val="32"/>
          <w:szCs w:val="32"/>
          <w:lang w:val="en-US" w:eastAsia="zh-CN"/>
        </w:rPr>
        <w:t>2023年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220</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增加50</w:t>
      </w:r>
      <w:r>
        <w:rPr>
          <w:rFonts w:hint="eastAsia" w:ascii="仿宋" w:hAnsi="仿宋" w:eastAsia="仿宋" w:cs="仿宋"/>
          <w:sz w:val="32"/>
          <w:szCs w:val="32"/>
        </w:rPr>
        <w:t>万元，主要是</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2022年预算使用情况安排该预算。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农林水支出（类） 普惠金融发展支出（款）  其他普惠金融发展支出（项）</w:t>
      </w:r>
      <w:r>
        <w:rPr>
          <w:rFonts w:hint="eastAsia" w:ascii="仿宋" w:hAnsi="仿宋" w:eastAsia="仿宋" w:cs="仿宋"/>
          <w:sz w:val="32"/>
          <w:szCs w:val="32"/>
          <w:lang w:val="en-US" w:eastAsia="zh-CN"/>
        </w:rPr>
        <w:t>2023年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961</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718万元</w:t>
      </w:r>
      <w:r>
        <w:rPr>
          <w:rFonts w:hint="eastAsia" w:ascii="仿宋" w:hAnsi="仿宋" w:eastAsia="仿宋" w:cs="仿宋"/>
          <w:sz w:val="32"/>
          <w:szCs w:val="32"/>
        </w:rPr>
        <w:t>，主要是</w:t>
      </w:r>
      <w:r>
        <w:rPr>
          <w:rFonts w:hint="eastAsia" w:ascii="仿宋" w:hAnsi="仿宋" w:eastAsia="仿宋" w:cs="仿宋"/>
          <w:sz w:val="32"/>
          <w:szCs w:val="32"/>
          <w:lang w:val="en-US" w:eastAsia="zh-CN"/>
        </w:rPr>
        <w:t>省级财政部门拨付2023年农民小额贷款的贴息资金。</w:t>
      </w:r>
    </w:p>
    <w:p>
      <w:pPr>
        <w:spacing w:line="560"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sz w:val="32"/>
          <w:szCs w:val="32"/>
          <w:lang w:val="en-US" w:eastAsia="zh-CN"/>
        </w:rPr>
        <w:t>2023年</w:t>
      </w:r>
      <w:r>
        <w:rPr>
          <w:rFonts w:hint="eastAsia" w:ascii="黑体" w:hAnsi="黑体" w:eastAsia="黑体"/>
          <w:sz w:val="32"/>
          <w:szCs w:val="32"/>
        </w:rPr>
        <w:t>一般公共预算基本支出情况说明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海口市金融管理局（部门）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一般公共预算基本支出为</w:t>
      </w:r>
      <w:r>
        <w:rPr>
          <w:rFonts w:hint="eastAsia" w:ascii="仿宋" w:hAnsi="仿宋" w:eastAsia="仿宋" w:cs="仿宋"/>
          <w:sz w:val="32"/>
          <w:szCs w:val="32"/>
          <w:lang w:val="en-US" w:eastAsia="zh-CN"/>
        </w:rPr>
        <w:t>333.04</w:t>
      </w:r>
      <w:r>
        <w:rPr>
          <w:rFonts w:hint="eastAsia" w:ascii="仿宋" w:hAnsi="仿宋" w:eastAsia="仿宋" w:cs="仿宋"/>
          <w:sz w:val="32"/>
          <w:szCs w:val="32"/>
        </w:rPr>
        <w:t>万元，其中：</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300.04</w:t>
      </w:r>
      <w:r>
        <w:rPr>
          <w:rFonts w:hint="eastAsia" w:ascii="仿宋" w:hAnsi="仿宋" w:eastAsia="仿宋" w:cs="仿宋"/>
          <w:sz w:val="32"/>
          <w:szCs w:val="32"/>
        </w:rPr>
        <w:t>万元，主要包括：基本工资、津贴补贴、奖金、社会保障缴费、 住房公积金</w:t>
      </w:r>
      <w:r>
        <w:rPr>
          <w:rFonts w:hint="eastAsia" w:ascii="仿宋" w:hAnsi="仿宋" w:eastAsia="仿宋" w:cs="仿宋"/>
          <w:sz w:val="32"/>
          <w:szCs w:val="32"/>
          <w:lang w:eastAsia="zh-CN"/>
        </w:rPr>
        <w:t>、商品和服务支出、 其他交通费用等。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33.01</w:t>
      </w:r>
      <w:r>
        <w:rPr>
          <w:rFonts w:hint="eastAsia" w:ascii="仿宋" w:hAnsi="仿宋" w:eastAsia="仿宋" w:cs="仿宋"/>
          <w:sz w:val="32"/>
          <w:szCs w:val="32"/>
        </w:rPr>
        <w:t>万元，主要包括：办公费、商品和服务支出、邮电费、 印刷费、差旅费、 培训费</w:t>
      </w:r>
      <w:r>
        <w:rPr>
          <w:rFonts w:hint="eastAsia" w:ascii="仿宋" w:hAnsi="仿宋" w:eastAsia="仿宋" w:cs="仿宋"/>
          <w:sz w:val="32"/>
          <w:szCs w:val="32"/>
          <w:lang w:eastAsia="zh-CN"/>
        </w:rPr>
        <w:t>、工会经费、</w:t>
      </w:r>
      <w:r>
        <w:rPr>
          <w:rFonts w:hint="eastAsia" w:ascii="仿宋" w:hAnsi="仿宋" w:eastAsia="仿宋" w:cs="仿宋"/>
          <w:sz w:val="32"/>
          <w:szCs w:val="32"/>
          <w:lang w:val="en-US" w:eastAsia="zh-CN"/>
        </w:rPr>
        <w:t>办公设备购置、</w:t>
      </w:r>
      <w:r>
        <w:rPr>
          <w:rFonts w:hint="eastAsia" w:ascii="仿宋" w:hAnsi="仿宋" w:eastAsia="仿宋" w:cs="仿宋"/>
          <w:sz w:val="32"/>
          <w:szCs w:val="32"/>
          <w:lang w:eastAsia="zh-CN"/>
        </w:rPr>
        <w:t>公务用车运行维护费等</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eastAsia="zh-CN"/>
        </w:rPr>
        <w:t>海口市金融管理局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2023年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一般公共预算“三公”经费预算数为</w:t>
      </w:r>
      <w:r>
        <w:rPr>
          <w:rFonts w:hint="eastAsia" w:ascii="仿宋" w:hAnsi="仿宋" w:eastAsia="仿宋" w:cs="仿宋"/>
          <w:sz w:val="32"/>
          <w:szCs w:val="32"/>
          <w:lang w:val="en-US" w:eastAsia="zh-CN"/>
        </w:rPr>
        <w:t>4.8</w:t>
      </w:r>
      <w:r>
        <w:rPr>
          <w:rFonts w:hint="eastAsia" w:ascii="仿宋" w:hAnsi="仿宋" w:eastAsia="仿宋" w:cs="仿宋"/>
          <w:sz w:val="32"/>
          <w:szCs w:val="32"/>
        </w:rPr>
        <w:t>万元，其中：</w:t>
      </w:r>
    </w:p>
    <w:p>
      <w:pPr>
        <w:spacing w:line="560"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3.5</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3.5</w:t>
      </w:r>
      <w:r>
        <w:rPr>
          <w:rFonts w:hint="eastAsia" w:ascii="仿宋" w:hAnsi="仿宋" w:eastAsia="仿宋" w:cs="仿宋"/>
          <w:sz w:val="32"/>
          <w:szCs w:val="32"/>
        </w:rPr>
        <w:t>万元）</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val="en-US" w:eastAsia="zh-CN"/>
        </w:rPr>
        <w:t>与上年数据一致，无变化</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海口市金融管理局</w:t>
      </w:r>
      <w:r>
        <w:rPr>
          <w:rFonts w:hint="eastAsia" w:ascii="仿宋" w:hAnsi="仿宋" w:eastAsia="仿宋" w:cs="仿宋"/>
          <w:sz w:val="32"/>
          <w:shd w:val="clear" w:color="auto" w:fill="FFFFFF"/>
          <w:lang w:val="en-US" w:eastAsia="zh-CN"/>
        </w:rPr>
        <w:t>2021年6月26日正式挂牌成立，暂未申请公务用车，2021年未预留公务用车运行预算</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val="en-US" w:eastAsia="zh-CN"/>
        </w:rPr>
        <w:t>我局向市发改委申请核编了1辆公务车，2023年按标准预留3.5万元公用车运行费预算。</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1.3</w:t>
      </w:r>
      <w:r>
        <w:rPr>
          <w:rFonts w:hint="eastAsia" w:ascii="仿宋" w:hAnsi="仿宋" w:eastAsia="仿宋" w:cs="仿宋"/>
          <w:sz w:val="32"/>
          <w:shd w:val="clear" w:color="auto" w:fill="FFFFFF"/>
        </w:rPr>
        <w:t>万元，</w:t>
      </w:r>
      <w:r>
        <w:rPr>
          <w:rFonts w:hint="eastAsia" w:ascii="仿宋" w:hAnsi="仿宋" w:eastAsia="仿宋" w:cs="仿宋"/>
          <w:sz w:val="32"/>
          <w:shd w:val="clear" w:color="auto" w:fill="FFFFFF"/>
          <w:lang w:val="en-US" w:eastAsia="zh-CN"/>
        </w:rPr>
        <w:t>与上年数据一致，无变化</w:t>
      </w:r>
      <w:r>
        <w:rPr>
          <w:rFonts w:hint="eastAsia" w:ascii="仿宋" w:hAnsi="仿宋" w:eastAsia="仿宋" w:cs="仿宋"/>
          <w:sz w:val="32"/>
          <w:shd w:val="clear" w:color="auto" w:fill="FFFFFF"/>
        </w:rPr>
        <w:t>。</w:t>
      </w:r>
    </w:p>
    <w:p>
      <w:pPr>
        <w:spacing w:line="560" w:lineRule="exact"/>
        <w:ind w:firstLine="640" w:firstLineChars="200"/>
        <w:rPr>
          <w:rFonts w:ascii="仿宋_GB2312" w:hAnsi="黑体" w:eastAsia="仿宋_GB2312"/>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2023年</w:t>
      </w:r>
      <w:r>
        <w:rPr>
          <w:rFonts w:hint="eastAsia" w:ascii="仿宋" w:hAnsi="仿宋" w:eastAsia="仿宋" w:cs="仿宋"/>
          <w:sz w:val="32"/>
          <w:szCs w:val="32"/>
        </w:rPr>
        <w:t>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海口市金融管理局2021年、2022、2023年均未申报此项预算</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海口市金融管理局2021年、2023年均未申报此项预算</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2023年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（部门）所有收入和支出均纳入部门预算管理。收入包括：一般公共预算收入；支出包括：</w:t>
      </w:r>
      <w:r>
        <w:rPr>
          <w:rFonts w:hint="eastAsia" w:ascii="仿宋" w:hAnsi="仿宋" w:eastAsia="仿宋" w:cs="仿宋"/>
          <w:sz w:val="32"/>
          <w:szCs w:val="32"/>
          <w:lang w:val="en-US" w:eastAsia="zh-CN"/>
        </w:rPr>
        <w:t>一般公共服务支出、</w:t>
      </w:r>
      <w:r>
        <w:rPr>
          <w:rFonts w:hint="eastAsia" w:ascii="仿宋" w:hAnsi="仿宋" w:eastAsia="仿宋" w:cs="仿宋"/>
          <w:sz w:val="32"/>
          <w:szCs w:val="32"/>
        </w:rPr>
        <w:t>社会保障和就业支出、卫生健康支出</w:t>
      </w:r>
      <w:r>
        <w:rPr>
          <w:rFonts w:hint="eastAsia" w:ascii="仿宋" w:hAnsi="仿宋" w:eastAsia="仿宋" w:cs="仿宋"/>
          <w:sz w:val="32"/>
          <w:szCs w:val="32"/>
          <w:lang w:eastAsia="zh-CN"/>
        </w:rPr>
        <w:t>、农林水支出、</w:t>
      </w:r>
      <w:r>
        <w:rPr>
          <w:rFonts w:hint="eastAsia" w:ascii="仿宋" w:hAnsi="仿宋" w:eastAsia="仿宋" w:cs="仿宋"/>
          <w:sz w:val="32"/>
          <w:szCs w:val="32"/>
          <w:lang w:val="en-US" w:eastAsia="zh-CN"/>
        </w:rPr>
        <w:t>商业服务业等支出、</w:t>
      </w:r>
      <w:r>
        <w:rPr>
          <w:rFonts w:hint="eastAsia" w:ascii="仿宋" w:hAnsi="仿宋" w:eastAsia="仿宋" w:cs="仿宋"/>
          <w:sz w:val="32"/>
          <w:szCs w:val="32"/>
          <w:lang w:eastAsia="zh-CN"/>
        </w:rPr>
        <w:t>金融支出、住房保障支出</w:t>
      </w:r>
      <w:r>
        <w:rPr>
          <w:rFonts w:hint="eastAsia" w:ascii="仿宋" w:hAnsi="仿宋" w:eastAsia="仿宋" w:cs="仿宋"/>
          <w:sz w:val="32"/>
          <w:szCs w:val="32"/>
        </w:rPr>
        <w:t>。</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收支总预算</w:t>
      </w:r>
      <w:r>
        <w:rPr>
          <w:rFonts w:hint="eastAsia" w:ascii="仿宋" w:hAnsi="仿宋" w:eastAsia="仿宋" w:cs="仿宋"/>
          <w:sz w:val="32"/>
          <w:szCs w:val="32"/>
          <w:lang w:val="en-US" w:eastAsia="zh-CN"/>
        </w:rPr>
        <w:t>1649.04</w:t>
      </w:r>
      <w:r>
        <w:rPr>
          <w:rFonts w:hint="eastAsia" w:ascii="仿宋" w:hAnsi="仿宋" w:eastAsia="仿宋" w:cs="仿宋"/>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2023年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收入预算</w:t>
      </w:r>
      <w:r>
        <w:rPr>
          <w:rFonts w:hint="eastAsia" w:ascii="仿宋" w:hAnsi="仿宋" w:eastAsia="仿宋" w:cs="仿宋"/>
          <w:sz w:val="32"/>
          <w:szCs w:val="32"/>
          <w:lang w:val="en-US" w:eastAsia="zh-CN"/>
        </w:rPr>
        <w:t>1649.04</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1649.04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1038.3万元</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主</w:t>
      </w:r>
      <w:r>
        <w:rPr>
          <w:rFonts w:hint="eastAsia" w:ascii="仿宋" w:hAnsi="仿宋" w:eastAsia="仿宋" w:cs="仿宋"/>
          <w:color w:val="auto"/>
          <w:sz w:val="32"/>
          <w:szCs w:val="32"/>
        </w:rPr>
        <w:t>要是</w:t>
      </w:r>
      <w:r>
        <w:rPr>
          <w:rFonts w:hint="eastAsia" w:ascii="仿宋" w:hAnsi="仿宋" w:eastAsia="仿宋" w:cs="仿宋"/>
          <w:color w:val="auto"/>
          <w:sz w:val="32"/>
          <w:szCs w:val="32"/>
          <w:lang w:val="en-US" w:eastAsia="zh-CN"/>
        </w:rPr>
        <w:t>2023年需拨付海南省清算中心房租补贴（135万元），2023年省级的农民小额贷款贴息资金（961万元）需纳入部门预算，此外我局2023年新增了4名新入职员工以及1名来琼挂职干部，需将挂职干部的生活补贴等纳入部门预算。</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2023年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2023年</w:t>
      </w:r>
      <w:r>
        <w:rPr>
          <w:rFonts w:hint="eastAsia" w:ascii="仿宋" w:hAnsi="仿宋" w:eastAsia="仿宋" w:cs="仿宋"/>
          <w:sz w:val="32"/>
          <w:szCs w:val="32"/>
        </w:rPr>
        <w:t>支出预算</w:t>
      </w:r>
      <w:r>
        <w:rPr>
          <w:rFonts w:hint="eastAsia" w:ascii="仿宋" w:hAnsi="仿宋" w:eastAsia="仿宋" w:cs="仿宋"/>
          <w:sz w:val="32"/>
          <w:szCs w:val="32"/>
          <w:lang w:val="en-US" w:eastAsia="zh-CN"/>
        </w:rPr>
        <w:t>1649.04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333.05</w:t>
      </w:r>
      <w:r>
        <w:rPr>
          <w:rFonts w:hint="eastAsia" w:ascii="仿宋" w:hAnsi="仿宋" w:eastAsia="仿宋" w:cs="仿宋"/>
          <w:sz w:val="32"/>
          <w:szCs w:val="32"/>
        </w:rPr>
        <w:t>万元，占</w:t>
      </w:r>
      <w:r>
        <w:rPr>
          <w:rFonts w:hint="eastAsia" w:ascii="仿宋" w:hAnsi="仿宋" w:eastAsia="仿宋" w:cs="仿宋"/>
          <w:sz w:val="32"/>
          <w:szCs w:val="32"/>
          <w:lang w:val="en-US" w:eastAsia="zh-CN"/>
        </w:rPr>
        <w:t>20.2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1316</w:t>
      </w:r>
      <w:r>
        <w:rPr>
          <w:rFonts w:hint="eastAsia" w:ascii="仿宋" w:hAnsi="仿宋" w:eastAsia="仿宋" w:cs="仿宋"/>
          <w:sz w:val="32"/>
          <w:szCs w:val="32"/>
        </w:rPr>
        <w:t>万元，占</w:t>
      </w:r>
      <w:r>
        <w:rPr>
          <w:rFonts w:hint="eastAsia" w:ascii="仿宋" w:hAnsi="仿宋" w:eastAsia="仿宋" w:cs="仿宋"/>
          <w:sz w:val="32"/>
          <w:szCs w:val="32"/>
          <w:lang w:val="en-US" w:eastAsia="zh-CN"/>
        </w:rPr>
        <w:t>79.8</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1038.3</w:t>
      </w:r>
      <w:r>
        <w:rPr>
          <w:rFonts w:hint="eastAsia" w:ascii="仿宋" w:hAnsi="仿宋" w:eastAsia="仿宋" w:cs="仿宋"/>
          <w:sz w:val="32"/>
          <w:szCs w:val="32"/>
        </w:rPr>
        <w:t>万元，</w:t>
      </w:r>
      <w:r>
        <w:rPr>
          <w:rFonts w:hint="eastAsia" w:ascii="仿宋" w:hAnsi="仿宋" w:eastAsia="仿宋" w:cs="仿宋"/>
          <w:color w:val="auto"/>
          <w:sz w:val="32"/>
          <w:szCs w:val="32"/>
          <w:lang w:val="en-US" w:eastAsia="zh-CN"/>
        </w:rPr>
        <w:t>主</w:t>
      </w:r>
      <w:r>
        <w:rPr>
          <w:rFonts w:hint="eastAsia" w:ascii="仿宋" w:hAnsi="仿宋" w:eastAsia="仿宋" w:cs="仿宋"/>
          <w:color w:val="auto"/>
          <w:sz w:val="32"/>
          <w:szCs w:val="32"/>
        </w:rPr>
        <w:t>要是</w:t>
      </w:r>
      <w:r>
        <w:rPr>
          <w:rFonts w:hint="eastAsia" w:ascii="仿宋" w:hAnsi="仿宋" w:eastAsia="仿宋" w:cs="仿宋"/>
          <w:color w:val="auto"/>
          <w:sz w:val="32"/>
          <w:szCs w:val="32"/>
          <w:lang w:val="en-US" w:eastAsia="zh-CN"/>
        </w:rPr>
        <w:t>2023年需拨付海南省清算中心房租补贴（135万元），2023年省级的农民小额贷款贴息资金（961万元）需纳入部门预算，此外我局2023年新增了4名新入职员工以及1名来琼挂职干部，需将挂职干部的生活补贴等纳入部门预算。</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（一）机关运行经费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2023年海口市金融管理局</w:t>
      </w:r>
      <w:r>
        <w:rPr>
          <w:rFonts w:hint="eastAsia" w:ascii="仿宋" w:hAnsi="仿宋" w:eastAsia="仿宋" w:cs="仿宋"/>
          <w:sz w:val="32"/>
          <w:szCs w:val="32"/>
        </w:rPr>
        <w:t>（部门本级）的机关运行经费预算</w:t>
      </w:r>
      <w:r>
        <w:rPr>
          <w:rFonts w:hint="eastAsia" w:ascii="仿宋" w:hAnsi="仿宋" w:eastAsia="仿宋" w:cs="仿宋"/>
          <w:color w:val="auto"/>
          <w:sz w:val="32"/>
          <w:szCs w:val="32"/>
          <w:lang w:val="en-US" w:eastAsia="zh-CN"/>
        </w:rPr>
        <w:t>33.01</w:t>
      </w:r>
      <w:r>
        <w:rPr>
          <w:rFonts w:hint="eastAsia" w:ascii="仿宋" w:hAnsi="仿宋" w:eastAsia="仿宋" w:cs="仿宋"/>
          <w:color w:val="auto"/>
          <w:sz w:val="32"/>
          <w:szCs w:val="32"/>
        </w:rPr>
        <w:t>万元</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（二）政府采购情况</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2023年海口市金融管理局</w:t>
      </w:r>
      <w:r>
        <w:rPr>
          <w:rFonts w:hint="eastAsia" w:ascii="仿宋" w:hAnsi="仿宋" w:eastAsia="仿宋" w:cs="仿宋"/>
          <w:sz w:val="32"/>
          <w:szCs w:val="32"/>
          <w:lang w:eastAsia="zh-CN"/>
        </w:rPr>
        <w:t>（部门）无</w:t>
      </w:r>
      <w:r>
        <w:rPr>
          <w:rFonts w:hint="eastAsia" w:ascii="仿宋" w:hAnsi="仿宋" w:eastAsia="仿宋" w:cs="仿宋"/>
          <w:sz w:val="32"/>
          <w:szCs w:val="32"/>
        </w:rPr>
        <w:t>政府采购预算。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（三）国有资产占有使用情况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2021</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（部门）本级</w:t>
      </w:r>
      <w:r>
        <w:rPr>
          <w:rFonts w:hint="eastAsia" w:ascii="仿宋" w:hAnsi="仿宋" w:eastAsia="仿宋" w:cs="仿宋"/>
          <w:sz w:val="32"/>
          <w:szCs w:val="32"/>
          <w:lang w:eastAsia="zh-CN"/>
        </w:rPr>
        <w:t>（无</w:t>
      </w:r>
      <w:r>
        <w:rPr>
          <w:rFonts w:hint="eastAsia" w:ascii="仿宋" w:hAnsi="仿宋" w:eastAsia="仿宋" w:cs="仿宋"/>
          <w:sz w:val="32"/>
          <w:szCs w:val="32"/>
        </w:rPr>
        <w:t>下属</w:t>
      </w:r>
      <w:r>
        <w:rPr>
          <w:rFonts w:hint="eastAsia" w:ascii="仿宋" w:hAnsi="仿宋" w:eastAsia="仿宋" w:cs="仿宋"/>
          <w:sz w:val="32"/>
          <w:szCs w:val="32"/>
          <w:lang w:eastAsia="zh-CN"/>
        </w:rPr>
        <w:t>单位）</w:t>
      </w:r>
      <w:r>
        <w:rPr>
          <w:rFonts w:hint="eastAsia" w:ascii="仿宋" w:hAnsi="仿宋" w:eastAsia="仿宋" w:cs="仿宋"/>
          <w:sz w:val="32"/>
          <w:szCs w:val="32"/>
        </w:rPr>
        <w:t>预算单位共有车辆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w:t>
      </w:r>
      <w:r>
        <w:rPr>
          <w:rFonts w:hint="eastAsia" w:ascii="仿宋" w:hAnsi="仿宋" w:eastAsia="仿宋" w:cs="仿宋"/>
          <w:sz w:val="32"/>
          <w:szCs w:val="32"/>
          <w:lang w:eastAsia="zh-CN"/>
        </w:rPr>
        <w:t>无</w:t>
      </w:r>
      <w:r>
        <w:rPr>
          <w:rFonts w:hint="eastAsia" w:ascii="仿宋" w:hAnsi="仿宋" w:eastAsia="仿宋" w:cs="仿宋"/>
          <w:sz w:val="32"/>
          <w:szCs w:val="32"/>
        </w:rPr>
        <w:t>价值100万元以上设备。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2023年海口市金融管理局</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16</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1649.04</w:t>
      </w:r>
      <w:r>
        <w:rPr>
          <w:rFonts w:hint="eastAsia" w:ascii="仿宋" w:hAnsi="仿宋" w:eastAsia="仿宋" w:cs="仿宋"/>
          <w:sz w:val="32"/>
          <w:szCs w:val="32"/>
        </w:rPr>
        <w:t>万元。</w:t>
      </w:r>
    </w:p>
    <w:p>
      <w:pPr>
        <w:spacing w:line="560" w:lineRule="exact"/>
        <w:ind w:firstLine="640" w:firstLineChars="200"/>
        <w:jc w:val="left"/>
        <w:rPr>
          <w:rFonts w:ascii="仿宋_GB2312" w:hAnsi="宋体" w:eastAsia="仿宋_GB2312" w:cs="宋体"/>
          <w:color w:val="000000"/>
          <w:kern w:val="0"/>
          <w:sz w:val="32"/>
          <w:szCs w:val="30"/>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color w:val="000000"/>
          <w:kern w:val="0"/>
          <w:sz w:val="32"/>
          <w:szCs w:val="32"/>
          <w:lang w:val="zh-CN"/>
        </w:rPr>
      </w:pP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0" w:firstLineChars="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FangSong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altName w:val="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B22DDB"/>
    <w:multiLevelType w:val="singleLevel"/>
    <w:tmpl w:val="3EB22DDB"/>
    <w:lvl w:ilvl="0" w:tentative="0">
      <w:start w:val="2"/>
      <w:numFmt w:val="chineseCounting"/>
      <w:suff w:val="space"/>
      <w:lvlText w:val="第%1部分"/>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jQ1NzFlNThlNzMwZDA4NGNlZjRmODYzNjBhMWQifQ=="/>
  </w:docVars>
  <w:rsids>
    <w:rsidRoot w:val="00000000"/>
    <w:rsid w:val="1A157468"/>
    <w:rsid w:val="1F9D4FF1"/>
    <w:rsid w:val="263736B3"/>
    <w:rsid w:val="2E260C87"/>
    <w:rsid w:val="43DC3171"/>
    <w:rsid w:val="49470B3C"/>
    <w:rsid w:val="576C118F"/>
    <w:rsid w:val="6E264DF0"/>
    <w:rsid w:val="6F8267FF"/>
    <w:rsid w:val="732D019A"/>
    <w:rsid w:val="788D6546"/>
    <w:rsid w:val="7DEBCAFF"/>
    <w:rsid w:val="DFEF2D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CM8"/>
    <w:basedOn w:val="11"/>
    <w:next w:val="11"/>
    <w:unhideWhenUsed/>
    <w:qFormat/>
    <w:uiPriority w:val="99"/>
    <w:pPr>
      <w:spacing w:beforeLines="0" w:afterLines="0"/>
    </w:pPr>
    <w:rPr>
      <w:rFonts w:hint="default"/>
      <w:sz w:val="24"/>
    </w:rPr>
  </w:style>
  <w:style w:type="paragraph" w:customStyle="1" w:styleId="11">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paragraph" w:customStyle="1" w:styleId="12">
    <w:name w:val="CM5"/>
    <w:basedOn w:val="11"/>
    <w:next w:val="11"/>
    <w:unhideWhenUsed/>
    <w:qFormat/>
    <w:uiPriority w:val="99"/>
    <w:pPr>
      <w:spacing w:beforeLines="0" w:afterLines="0" w:line="600" w:lineRule="atLeast"/>
    </w:pPr>
    <w:rPr>
      <w:rFonts w:hint="default"/>
      <w:sz w:val="24"/>
    </w:rPr>
  </w:style>
  <w:style w:type="paragraph" w:customStyle="1" w:styleId="13">
    <w:name w:val="CM6"/>
    <w:basedOn w:val="11"/>
    <w:next w:val="11"/>
    <w:unhideWhenUsed/>
    <w:qFormat/>
    <w:uiPriority w:val="99"/>
    <w:pPr>
      <w:spacing w:beforeLines="0" w:afterLines="0" w:line="600" w:lineRule="atLeast"/>
    </w:pPr>
    <w:rPr>
      <w:rFonts w:hint="default"/>
      <w:sz w:val="24"/>
    </w:rPr>
  </w:style>
  <w:style w:type="paragraph" w:customStyle="1" w:styleId="14">
    <w:name w:val="CM3"/>
    <w:basedOn w:val="11"/>
    <w:next w:val="11"/>
    <w:unhideWhenUsed/>
    <w:qFormat/>
    <w:uiPriority w:val="99"/>
    <w:pPr>
      <w:spacing w:beforeLines="0" w:afterLines="0" w:line="598" w:lineRule="atLeast"/>
    </w:pPr>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21</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2023-08-04T16:23:11Z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DDBA3C4FC62141B7AD8BBA31E768F0C6</vt:lpwstr>
  </property>
</Properties>
</file>