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bookmarkStart w:id="0" w:name="_GoBack"/>
      <w:bookmarkEnd w:id="0"/>
    </w:p>
    <w:p>
      <w:pPr>
        <w:jc w:val="center"/>
        <w:rPr>
          <w:rFonts w:hint="eastAsia" w:eastAsia="宋体"/>
          <w:sz w:val="52"/>
          <w:szCs w:val="52"/>
          <w:lang w:eastAsia="zh-CN"/>
        </w:rPr>
      </w:pPr>
      <w:r>
        <w:rPr>
          <w:rFonts w:hint="eastAsia"/>
          <w:sz w:val="52"/>
          <w:szCs w:val="52"/>
          <w:u w:val="none"/>
          <w:lang w:val="en-US" w:eastAsia="zh-CN"/>
        </w:rPr>
        <w:t>2021</w:t>
      </w:r>
      <w:r>
        <w:rPr>
          <w:rFonts w:hint="eastAsia"/>
          <w:sz w:val="52"/>
          <w:szCs w:val="52"/>
          <w:u w:val="none"/>
        </w:rPr>
        <w:t>年</w:t>
      </w:r>
      <w:r>
        <w:rPr>
          <w:rFonts w:hint="eastAsia"/>
          <w:sz w:val="52"/>
          <w:szCs w:val="52"/>
          <w:u w:val="none"/>
          <w:lang w:val="en-US" w:eastAsia="zh-CN"/>
        </w:rPr>
        <w:t>海口市金融管理局</w:t>
      </w:r>
      <w:r>
        <w:rPr>
          <w:rFonts w:hint="eastAsia"/>
          <w:sz w:val="52"/>
          <w:szCs w:val="52"/>
        </w:rPr>
        <w:t>预算</w:t>
      </w:r>
      <w:r>
        <w:rPr>
          <w:rFonts w:hint="eastAsia"/>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海口市金融管理局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海口市金融管理局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firstLine="640" w:firstLineChars="200"/>
        <w:jc w:val="left"/>
        <w:rPr>
          <w:rFonts w:ascii="黑体" w:hAnsi="黑体" w:eastAsia="黑体" w:cs="仿宋_GB2312"/>
          <w:sz w:val="32"/>
          <w:szCs w:val="32"/>
        </w:rPr>
      </w:pPr>
      <w:r>
        <w:rPr>
          <w:rFonts w:hint="eastAsia" w:ascii="FangSong_GB2312" w:hAnsi="FangSong_GB2312" w:eastAsia="FangSong_GB2312"/>
          <w:sz w:val="32"/>
        </w:rPr>
        <w:t>市金融管理局贯彻执行党中央的方针政策、法律法规，落实省委省政府、市委市政府决策部署以及海南自由贸易港建设的政策措施，在履职过程中坚持和加强党对金融工作的集中统一领导，主要职责是：</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研究拟订并组织实施全市金融工作政策规定、规章制度和工作规划，研究提出海南自由贸易港建设金融工作方面的意见和建议。</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联系中央驻琼金融监管机构、各类金融机构，协助中央驻琼金融监管机构依法对全市金融机构进行监管。</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组织开展政府与金融机构合作、金融机构和企业对接，引导、协调金融机构支持全市经济社会工作。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推动建立与海南自由贸易港相适应的金融开放模式。研究推进跨境贸易投融资自由便利的政策体系和政策措施。</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研究分析国家、省有关金融政策、宏观经济金融形势</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和全市金融运行情况，引导、协调金融机构为重点领域、重点工程、重点项目、重点区域和中小微企业提供投融资服务。</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承担属地金融服务责任，协助省金融监管局监管辖区内小额贷款公司、融资担保公司、区域性股权交易市场、典当行、融资租赁公司、商业保理公司、地方资产管理公司，网络借贷中介机构以及开展信用互助的农民专业合作社（含农民资金机构）、投资公司、社会众筹机构、地方各类交易场所等机构(场所)的风险处置。</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承担属地金融风险防范化解责任，牵头负责防范、打击和处置非法集资工作。负责建立与省金融信息共享、金融风险处置、业务工作联系机制。会同有关部门做好海口市维稳及金融突发事件应急处置相关工作。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促进全市多层次资本市场建设，指导推进企业改制上市、基金设立等工作，指导协调上市公司再融资及并购重组工作。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推动农民小额贷款、金融扶贫等普惠金融工作以及科技金融工作。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贯彻落实国家和省绿色金融的政策方针，协调推进国家、省对海口绿色金融的政策支持，推进绿色金融和绿色产业工作。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配合推动全市金融人力资源开发和金融人才队伍建设工作。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完成省委省政府、市委市政府交办的其他事项。</w:t>
      </w:r>
    </w:p>
    <w:p>
      <w:pPr>
        <w:pStyle w:val="11"/>
        <w:spacing w:beforeLines="0" w:after="215" w:afterLines="0"/>
        <w:ind w:left="637"/>
        <w:rPr>
          <w:rFonts w:hint="eastAsia" w:ascii="FangSong_GB2312" w:hAnsi="FangSong_GB2312" w:eastAsia="FangSong_GB2312"/>
          <w:sz w:val="32"/>
        </w:rPr>
      </w:pPr>
      <w:r>
        <w:rPr>
          <w:rFonts w:hint="eastAsia" w:ascii="FangSong_GB2312" w:hAnsi="FangSong_GB2312" w:eastAsia="FangSong_GB2312"/>
          <w:sz w:val="32"/>
        </w:rPr>
        <w:t>市金融管理局设下列内设机构：</w:t>
      </w:r>
    </w:p>
    <w:p>
      <w:pPr>
        <w:spacing w:beforeLines="0" w:afterLines="0"/>
        <w:ind w:firstLine="637"/>
        <w:jc w:val="left"/>
        <w:rPr>
          <w:rFonts w:hint="eastAsia" w:ascii="KaiTi_GB2312" w:hAnsi="KaiTi_GB2312" w:eastAsia="KaiTi_GB2312"/>
          <w:sz w:val="32"/>
        </w:rPr>
      </w:pPr>
      <w:r>
        <w:rPr>
          <w:rFonts w:hint="eastAsia" w:ascii="KaiTi_GB2312" w:hAnsi="KaiTi_GB2312" w:eastAsia="KaiTi_GB2312"/>
          <w:sz w:val="32"/>
        </w:rPr>
        <w:t>（一）办公室</w:t>
      </w:r>
    </w:p>
    <w:p>
      <w:pPr>
        <w:pStyle w:val="13"/>
        <w:spacing w:beforeLines="0" w:afterLines="0"/>
        <w:ind w:firstLine="637"/>
        <w:rPr>
          <w:rFonts w:hint="eastAsia" w:ascii="FangSong_GB2312" w:hAnsi="FangSong_GB2312" w:eastAsia="FangSong_GB2312"/>
          <w:sz w:val="32"/>
        </w:rPr>
      </w:pPr>
      <w:r>
        <w:rPr>
          <w:rFonts w:hint="eastAsia" w:ascii="FangSong_GB2312" w:hAnsi="FangSong_GB2312" w:eastAsia="FangSong_GB2312"/>
          <w:sz w:val="32"/>
        </w:rPr>
        <w:t>负责起草有关综合性文件和工作总结报告；负责制定和实施机关内部规章制度；负责文电、会务、机要、档案、安全保卫及后勤保障等机关日常工作；承担保密、财务资产、政务信息公开及人大建议、政协提案办理等工作；统筹做好定点扶贫和乡村振兴工作，负责机构编制、人事管理、队伍建设、老干部服务、群团工作；负责机关党的建设、党风廉政和反腐败工作；会同有关部门落实促进金融人才工作的政策措施。</w:t>
      </w:r>
    </w:p>
    <w:p>
      <w:pPr>
        <w:pStyle w:val="13"/>
        <w:spacing w:beforeLines="0" w:afterLines="0"/>
        <w:ind w:firstLine="637"/>
        <w:rPr>
          <w:rFonts w:hint="eastAsia" w:ascii="KaiTi_GB2312" w:hAnsi="KaiTi_GB2312" w:eastAsia="KaiTi_GB2312"/>
          <w:sz w:val="32"/>
        </w:rPr>
      </w:pPr>
      <w:r>
        <w:rPr>
          <w:rFonts w:hint="eastAsia" w:ascii="KaiTi_GB2312" w:hAnsi="KaiTi_GB2312" w:eastAsia="KaiTi_GB2312"/>
          <w:sz w:val="32"/>
        </w:rPr>
        <w:t>（二）自贸金融科</w:t>
      </w:r>
    </w:p>
    <w:p>
      <w:pPr>
        <w:pStyle w:val="13"/>
        <w:ind w:firstLine="637"/>
        <w:rPr>
          <w:rFonts w:hint="eastAsia" w:ascii="FangSong_GB2312" w:hAnsi="FangSong_GB2312" w:eastAsia="FangSong_GB2312"/>
          <w:sz w:val="32"/>
        </w:rPr>
      </w:pPr>
      <w:r>
        <w:rPr>
          <w:rFonts w:hint="eastAsia" w:ascii="FangSong_GB2312" w:hAnsi="FangSong_GB2312" w:eastAsia="FangSong_GB2312"/>
          <w:sz w:val="32"/>
        </w:rPr>
        <w:t>研究起草本市金融相关规范性文件，拟订全市金融业发展规划和鼓励金融业发展的政策措施；推进金融业改革开放，研究提出支持自由贸易港建设和优化金融服务的政策建议，协调推动建立与自贸港相适应的金融开放模式，落实外汇管理制度改革、跨境人民币业务及离岸金融有关工作，积极服务跨境贸易投资自由便利；配合推进自由贸易账户体系建设和相关风险监督与评估；研究分析国家、省里有关金融政策、宏观经济金融形势和全市金融运行情况；协调落实市政府与金融机构的战略合作；负责协调金融招商工作；负责绿色金融、金融科技创新发展相关工作；负责全市金融运行情况以及金融数据统计分析和报表汇总工作。</w:t>
      </w:r>
    </w:p>
    <w:p>
      <w:pPr>
        <w:pStyle w:val="13"/>
        <w:spacing w:beforeLines="0" w:afterLines="0"/>
        <w:ind w:firstLine="637"/>
        <w:rPr>
          <w:rFonts w:hint="eastAsia" w:ascii="KaiTi_GB2312" w:hAnsi="KaiTi_GB2312" w:eastAsia="KaiTi_GB2312"/>
          <w:sz w:val="32"/>
        </w:rPr>
      </w:pPr>
      <w:r>
        <w:rPr>
          <w:rFonts w:hint="eastAsia" w:ascii="KaiTi_GB2312" w:hAnsi="KaiTi_GB2312" w:eastAsia="KaiTi_GB2312"/>
          <w:sz w:val="32"/>
        </w:rPr>
        <w:t>（三）银行保险科</w:t>
      </w:r>
    </w:p>
    <w:p>
      <w:pPr>
        <w:pStyle w:val="13"/>
        <w:spacing w:beforeLines="0" w:afterLines="0"/>
        <w:ind w:firstLine="637"/>
        <w:rPr>
          <w:rFonts w:hint="eastAsia" w:ascii="FangSong_GB2312" w:hAnsi="FangSong_GB2312" w:eastAsia="FangSong_GB2312"/>
          <w:sz w:val="32"/>
        </w:rPr>
      </w:pPr>
      <w:r>
        <w:rPr>
          <w:rFonts w:hint="eastAsia" w:ascii="FangSong_GB2312" w:hAnsi="FangSong_GB2312" w:eastAsia="FangSong_GB2312"/>
          <w:sz w:val="32"/>
        </w:rPr>
        <w:t>负责联系和服务海口银行保险机构，推动相关改革工作；协助推动海口市法人银行、保险机构等非银机构的改革、创新和发展；负责协调推进政银企对接活动；负责开发中小微企业融资风险分担产品和服务工作；协助中央驻琼金融监管机构对各银行保险机构的监管以及防范、处置、化解银行保险机构的金融风险；协助完善地方银行保险业综合风险防范系统，加强日常监测和数据分析；指导和督促银行保险业相关自律组织的活动；承担全市农民小额贷款、金融扶贫工作；编制上述机构的数据统计和报表汇总工作。</w:t>
      </w:r>
    </w:p>
    <w:p>
      <w:pPr>
        <w:pStyle w:val="13"/>
        <w:spacing w:beforeLines="0" w:afterLines="0"/>
        <w:ind w:firstLine="637"/>
        <w:rPr>
          <w:rFonts w:hint="eastAsia" w:ascii="KaiTi_GB2312" w:hAnsi="KaiTi_GB2312" w:eastAsia="KaiTi_GB2312"/>
          <w:sz w:val="32"/>
        </w:rPr>
      </w:pPr>
      <w:r>
        <w:rPr>
          <w:rFonts w:hint="eastAsia" w:ascii="KaiTi_GB2312" w:hAnsi="KaiTi_GB2312" w:eastAsia="KaiTi_GB2312"/>
          <w:sz w:val="32"/>
        </w:rPr>
        <w:t>（四）资本市场科</w:t>
      </w:r>
    </w:p>
    <w:p>
      <w:pPr>
        <w:pStyle w:val="13"/>
        <w:spacing w:beforeLines="0" w:afterLines="0"/>
        <w:ind w:firstLine="637"/>
        <w:rPr>
          <w:rFonts w:hint="eastAsia" w:ascii="FangSong_GB2312" w:hAnsi="FangSong_GB2312" w:eastAsia="FangSong_GB2312"/>
          <w:sz w:val="32"/>
        </w:rPr>
      </w:pPr>
      <w:r>
        <w:rPr>
          <w:rFonts w:hint="eastAsia" w:ascii="FangSong_GB2312" w:hAnsi="FangSong_GB2312" w:eastAsia="FangSong_GB2312"/>
          <w:sz w:val="32"/>
        </w:rPr>
        <w:t>协助中央驻琼金融监管机构和省金融监管局对辖区证券、期货、基金业金融机构和区域性股权市场、地方各类交易场所的报批和监督管理；负责全市多层次资本市场建设，建立全市上市后备企业资源库，推进企业直接融资工作；编制上述机构（场所）的经营数据统计报表，加强日常监测和数据分析；指导和监督相关自律组织的活动。</w:t>
      </w:r>
    </w:p>
    <w:p>
      <w:pPr>
        <w:pStyle w:val="13"/>
        <w:spacing w:beforeLines="0" w:afterLines="0"/>
        <w:ind w:firstLine="637"/>
        <w:rPr>
          <w:rFonts w:hint="eastAsia" w:ascii="KaiTi_GB2312" w:hAnsi="KaiTi_GB2312" w:eastAsia="KaiTi_GB2312"/>
          <w:sz w:val="32"/>
        </w:rPr>
      </w:pPr>
      <w:r>
        <w:rPr>
          <w:rFonts w:hint="eastAsia" w:ascii="KaiTi_GB2312" w:hAnsi="KaiTi_GB2312" w:eastAsia="KaiTi_GB2312"/>
          <w:sz w:val="32"/>
        </w:rPr>
        <w:t>（五）金融稳定科</w:t>
      </w:r>
    </w:p>
    <w:p>
      <w:pPr>
        <w:pStyle w:val="14"/>
        <w:spacing w:beforeLines="0" w:afterLines="0"/>
        <w:ind w:right="147" w:firstLine="637"/>
        <w:rPr>
          <w:rFonts w:hint="eastAsia" w:ascii="FangSong_GB2312" w:hAnsi="FangSong_GB2312" w:eastAsia="FangSong_GB2312"/>
          <w:sz w:val="32"/>
        </w:rPr>
      </w:pPr>
      <w:r>
        <w:rPr>
          <w:rFonts w:hint="eastAsia" w:ascii="FangSong_GB2312" w:hAnsi="FangSong_GB2312" w:eastAsia="FangSong_GB2312"/>
          <w:sz w:val="32"/>
        </w:rPr>
        <w:t>协助中央驻琼金融监管机构和省金融监管局对辖区内的融资担保公司、社会众筹机构、网络借贷中介机构、开展信用互助的农民专业合作社、小额贷款公司、典当行、融资租赁公司、商业保理公司、地方资产管理公司以及投资公司等地方金融机构或类金融机构的报批和监督管理，以及防范、处置、化解金融风险问题；负责全市辖区打击和处置非法集资工作；开展金融安全知识宣传普及和打击、处置非法集资宣传工作；建立金融风险预警体系，配合省金融监管局做好地方金融综合风险防范系统建设等相关工作，组织协调金融突发事件应急工作，制定实施全市金融安全生产应急预案以及地方金融风险防范和化解的政策措施；配合有关部门查处、打击非法金融机构和非法金融业务活动；制定金融突发事件处置措施和处置程序，协调处置金融风险事件；加强日常监测和数据分析；负责本单位信访统筹协调工作；负责本单位信息化项目建设管理、科技服务工作，负责本单位信息与政府相关信息系统的数据共享和应用。</w:t>
      </w:r>
    </w:p>
    <w:p>
      <w:pPr>
        <w:pStyle w:val="14"/>
        <w:ind w:right="147" w:firstLine="637"/>
        <w:rPr>
          <w:rFonts w:ascii="仿宋_GB2312" w:hAnsi="黑体" w:eastAsia="仿宋_GB2312" w:cs="仿宋_GB2312"/>
          <w:sz w:val="32"/>
          <w:szCs w:val="32"/>
        </w:rPr>
      </w:pPr>
      <w:r>
        <w:rPr>
          <w:rFonts w:hint="eastAsia" w:ascii="FangSong_GB2312" w:hAnsi="FangSong_GB2312" w:eastAsia="FangSong_GB2312"/>
          <w:sz w:val="32"/>
        </w:rPr>
        <w:t>市金融管理局行政编制20名。设局长1名，副局长3名。科级领导职数10名，其中正科级6名（含党支部专职副书记1名），副科级4名。</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海口市金融管理局2021</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val="en-US" w:eastAsia="zh-CN"/>
        </w:rPr>
        <w:t>仅为本</w:t>
      </w:r>
      <w:r>
        <w:rPr>
          <w:rFonts w:hint="eastAsia" w:ascii="仿宋_GB2312" w:hAnsi="黑体" w:eastAsia="仿宋_GB2312" w:cs="仿宋_GB2312"/>
          <w:sz w:val="32"/>
          <w:szCs w:val="32"/>
        </w:rPr>
        <w:t>级预算单位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年部门（单位）预算表</w:t>
      </w:r>
    </w:p>
    <w:p>
      <w:pPr>
        <w:ind w:left="800"/>
        <w:jc w:val="left"/>
        <w:rPr>
          <w:rFonts w:hint="default" w:ascii="黑体" w:hAnsi="黑体" w:eastAsia="黑体"/>
          <w:sz w:val="32"/>
          <w:szCs w:val="32"/>
          <w:lang w:val="en-US" w:eastAsia="zh-CN"/>
        </w:rPr>
      </w:pPr>
      <w:r>
        <w:rPr>
          <w:rFonts w:hint="eastAsia" w:ascii="黑体" w:hAnsi="黑体" w:eastAsia="黑体"/>
          <w:sz w:val="32"/>
          <w:szCs w:val="32"/>
          <w:lang w:val="en-US" w:eastAsia="zh-CN"/>
        </w:rPr>
        <w:t>一、财政拨款收支总表</w:t>
      </w:r>
    </w:p>
    <w:p>
      <w:pPr>
        <w:ind w:left="800"/>
        <w:jc w:val="center"/>
        <w:rPr>
          <w:rFonts w:hint="eastAsia" w:ascii="仿宋_GB2312" w:hAnsi="黑体" w:eastAsia="仿宋_GB2312"/>
          <w:b/>
          <w:sz w:val="32"/>
          <w:szCs w:val="32"/>
          <w:lang w:eastAsia="zh-CN"/>
        </w:rPr>
      </w:pPr>
      <w:r>
        <w:rPr>
          <w:rFonts w:hint="eastAsia" w:ascii="仿宋_GB2312" w:hAnsi="黑体" w:eastAsia="仿宋_GB2312"/>
          <w:b/>
          <w:sz w:val="32"/>
          <w:szCs w:val="32"/>
          <w:lang w:eastAsia="zh-CN"/>
        </w:rPr>
        <w:drawing>
          <wp:inline distT="0" distB="0" distL="114300" distR="114300">
            <wp:extent cx="5273675" cy="3644265"/>
            <wp:effectExtent l="0" t="0" r="3175" b="13335"/>
            <wp:docPr id="1" name="图片 1" descr="财政拨款收支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财政拨款收支总表"/>
                    <pic:cNvPicPr>
                      <a:picLocks noChangeAspect="1"/>
                    </pic:cNvPicPr>
                  </pic:nvPicPr>
                  <pic:blipFill>
                    <a:blip r:embed="rId4"/>
                    <a:stretch>
                      <a:fillRect/>
                    </a:stretch>
                  </pic:blipFill>
                  <pic:spPr>
                    <a:xfrm>
                      <a:off x="0" y="0"/>
                      <a:ext cx="5273675" cy="3644265"/>
                    </a:xfrm>
                    <a:prstGeom prst="rect">
                      <a:avLst/>
                    </a:prstGeom>
                    <a:noFill/>
                    <a:ln>
                      <a:noFill/>
                    </a:ln>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二、一般公共预算支出</w:t>
      </w:r>
    </w:p>
    <w:p>
      <w:pPr>
        <w:ind w:left="800"/>
        <w:jc w:val="center"/>
        <w:rPr>
          <w:rFonts w:hint="eastAsia" w:ascii="仿宋_GB2312" w:hAnsi="黑体" w:eastAsia="仿宋_GB2312"/>
          <w:b/>
          <w:sz w:val="32"/>
          <w:szCs w:val="32"/>
          <w:lang w:eastAsia="zh-CN"/>
        </w:rPr>
      </w:pPr>
      <w:r>
        <w:rPr>
          <w:rFonts w:hint="eastAsia" w:ascii="仿宋_GB2312" w:hAnsi="黑体" w:eastAsia="仿宋_GB2312"/>
          <w:b/>
          <w:sz w:val="32"/>
          <w:szCs w:val="32"/>
          <w:lang w:eastAsia="zh-CN"/>
        </w:rPr>
        <w:drawing>
          <wp:inline distT="0" distB="0" distL="114300" distR="114300">
            <wp:extent cx="5273040" cy="1844040"/>
            <wp:effectExtent l="0" t="0" r="3810" b="3810"/>
            <wp:docPr id="2" name="图片 2" descr="一般公共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般公共预算支出表"/>
                    <pic:cNvPicPr>
                      <a:picLocks noChangeAspect="1"/>
                    </pic:cNvPicPr>
                  </pic:nvPicPr>
                  <pic:blipFill>
                    <a:blip r:embed="rId5"/>
                    <a:stretch>
                      <a:fillRect/>
                    </a:stretch>
                  </pic:blipFill>
                  <pic:spPr>
                    <a:xfrm>
                      <a:off x="0" y="0"/>
                      <a:ext cx="5273040" cy="1844040"/>
                    </a:xfrm>
                    <a:prstGeom prst="rect">
                      <a:avLst/>
                    </a:prstGeom>
                    <a:noFill/>
                    <a:ln>
                      <a:noFill/>
                    </a:ln>
                  </pic:spPr>
                </pic:pic>
              </a:graphicData>
            </a:graphic>
          </wp:inline>
        </w:drawing>
      </w:r>
    </w:p>
    <w:p>
      <w:pPr>
        <w:ind w:left="800"/>
        <w:jc w:val="left"/>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三、一般公共预算基本支出表</w:t>
      </w:r>
    </w:p>
    <w:p>
      <w:pPr>
        <w:ind w:left="80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610100" cy="4076700"/>
            <wp:effectExtent l="0" t="0" r="0" b="0"/>
            <wp:docPr id="3" name="图片 3" descr="一般公共预算基本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一般公共预算基本支出表"/>
                    <pic:cNvPicPr>
                      <a:picLocks noChangeAspect="1"/>
                    </pic:cNvPicPr>
                  </pic:nvPicPr>
                  <pic:blipFill>
                    <a:blip r:embed="rId6"/>
                    <a:stretch>
                      <a:fillRect/>
                    </a:stretch>
                  </pic:blipFill>
                  <pic:spPr>
                    <a:xfrm>
                      <a:off x="0" y="0"/>
                      <a:ext cx="4610100" cy="4076700"/>
                    </a:xfrm>
                    <a:prstGeom prst="rect">
                      <a:avLst/>
                    </a:prstGeom>
                    <a:noFill/>
                    <a:ln>
                      <a:noFill/>
                    </a:ln>
                  </pic:spPr>
                </pic:pic>
              </a:graphicData>
            </a:graphic>
          </wp:inline>
        </w:drawing>
      </w:r>
    </w:p>
    <w:p>
      <w:pPr>
        <w:ind w:left="800"/>
        <w:jc w:val="left"/>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四、一般公共预算“三公”经费支出表</w:t>
      </w:r>
    </w:p>
    <w:p>
      <w:pPr>
        <w:ind w:left="0" w:firstLine="643" w:firstLineChars="200"/>
        <w:jc w:val="both"/>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5267960" cy="794385"/>
            <wp:effectExtent l="0" t="0" r="8890" b="5715"/>
            <wp:docPr id="4" name="图片 4" descr="一般公共预算”三公“经费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一般公共预算”三公“经费支出表"/>
                    <pic:cNvPicPr>
                      <a:picLocks noChangeAspect="1"/>
                    </pic:cNvPicPr>
                  </pic:nvPicPr>
                  <pic:blipFill>
                    <a:blip r:embed="rId7"/>
                    <a:stretch>
                      <a:fillRect/>
                    </a:stretch>
                  </pic:blipFill>
                  <pic:spPr>
                    <a:xfrm>
                      <a:off x="0" y="0"/>
                      <a:ext cx="5267960" cy="794385"/>
                    </a:xfrm>
                    <a:prstGeom prst="rect">
                      <a:avLst/>
                    </a:prstGeom>
                    <a:noFill/>
                    <a:ln>
                      <a:noFill/>
                    </a:ln>
                  </pic:spPr>
                </pic:pic>
              </a:graphicData>
            </a:graphic>
          </wp:inline>
        </w:drawing>
      </w:r>
    </w:p>
    <w:p>
      <w:pPr>
        <w:ind w:left="0" w:firstLine="643" w:firstLineChars="2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五、政府性基金预算支出表</w:t>
      </w:r>
    </w:p>
    <w:p>
      <w:pPr>
        <w:ind w:left="0" w:firstLine="643" w:firstLineChars="200"/>
        <w:jc w:val="both"/>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5274310" cy="1570990"/>
            <wp:effectExtent l="0" t="0" r="2540" b="10160"/>
            <wp:docPr id="5" name="图片 5" descr="政府性基金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政府性基金预算支出表"/>
                    <pic:cNvPicPr>
                      <a:picLocks noChangeAspect="1"/>
                    </pic:cNvPicPr>
                  </pic:nvPicPr>
                  <pic:blipFill>
                    <a:blip r:embed="rId8"/>
                    <a:stretch>
                      <a:fillRect/>
                    </a:stretch>
                  </pic:blipFill>
                  <pic:spPr>
                    <a:xfrm>
                      <a:off x="0" y="0"/>
                      <a:ext cx="5274310" cy="1570990"/>
                    </a:xfrm>
                    <a:prstGeom prst="rect">
                      <a:avLst/>
                    </a:prstGeom>
                    <a:noFill/>
                    <a:ln>
                      <a:noFill/>
                    </a:ln>
                  </pic:spPr>
                </pic:pic>
              </a:graphicData>
            </a:graphic>
          </wp:inline>
        </w:drawing>
      </w:r>
    </w:p>
    <w:p>
      <w:pPr>
        <w:ind w:left="0" w:firstLine="643" w:firstLineChars="2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六、政府性基金预算“三公”经费支出表</w:t>
      </w:r>
    </w:p>
    <w:p>
      <w:pPr>
        <w:ind w:left="800"/>
        <w:jc w:val="both"/>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5273675" cy="849630"/>
            <wp:effectExtent l="0" t="0" r="3175" b="7620"/>
            <wp:docPr id="6" name="图片 6" descr="政府性基金预算“三公”经费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政府性基金预算“三公”经费支出表"/>
                    <pic:cNvPicPr>
                      <a:picLocks noChangeAspect="1"/>
                    </pic:cNvPicPr>
                  </pic:nvPicPr>
                  <pic:blipFill>
                    <a:blip r:embed="rId9"/>
                    <a:stretch>
                      <a:fillRect/>
                    </a:stretch>
                  </pic:blipFill>
                  <pic:spPr>
                    <a:xfrm>
                      <a:off x="0" y="0"/>
                      <a:ext cx="5273675" cy="849630"/>
                    </a:xfrm>
                    <a:prstGeom prst="rect">
                      <a:avLst/>
                    </a:prstGeom>
                    <a:noFill/>
                    <a:ln>
                      <a:noFill/>
                    </a:ln>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七、部门收支总表</w:t>
      </w:r>
    </w:p>
    <w:p>
      <w:pPr>
        <w:ind w:left="800"/>
        <w:jc w:val="both"/>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2673350" cy="4210050"/>
            <wp:effectExtent l="0" t="0" r="12700" b="0"/>
            <wp:docPr id="7" name="图片 7" descr="部门收支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部门收支总表"/>
                    <pic:cNvPicPr>
                      <a:picLocks noChangeAspect="1"/>
                    </pic:cNvPicPr>
                  </pic:nvPicPr>
                  <pic:blipFill>
                    <a:blip r:embed="rId10"/>
                    <a:stretch>
                      <a:fillRect/>
                    </a:stretch>
                  </pic:blipFill>
                  <pic:spPr>
                    <a:xfrm>
                      <a:off x="0" y="0"/>
                      <a:ext cx="2673350" cy="4210050"/>
                    </a:xfrm>
                    <a:prstGeom prst="rect">
                      <a:avLst/>
                    </a:prstGeom>
                    <a:noFill/>
                    <a:ln>
                      <a:noFill/>
                    </a:ln>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八、部门收入总表</w:t>
      </w:r>
    </w:p>
    <w:p>
      <w:pPr>
        <w:ind w:left="800"/>
        <w:jc w:val="both"/>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5270500" cy="674370"/>
            <wp:effectExtent l="0" t="0" r="6350" b="11430"/>
            <wp:docPr id="8" name="图片 8" descr="部门收入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部门收入总表"/>
                    <pic:cNvPicPr>
                      <a:picLocks noChangeAspect="1"/>
                    </pic:cNvPicPr>
                  </pic:nvPicPr>
                  <pic:blipFill>
                    <a:blip r:embed="rId11"/>
                    <a:stretch>
                      <a:fillRect/>
                    </a:stretch>
                  </pic:blipFill>
                  <pic:spPr>
                    <a:xfrm>
                      <a:off x="0" y="0"/>
                      <a:ext cx="5270500" cy="674370"/>
                    </a:xfrm>
                    <a:prstGeom prst="rect">
                      <a:avLst/>
                    </a:prstGeom>
                    <a:noFill/>
                    <a:ln>
                      <a:noFill/>
                    </a:ln>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九、部门支出总表</w:t>
      </w:r>
    </w:p>
    <w:p>
      <w:pPr>
        <w:ind w:left="800"/>
        <w:jc w:val="center"/>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5273040" cy="1654810"/>
            <wp:effectExtent l="0" t="0" r="3810" b="2540"/>
            <wp:docPr id="9" name="图片 9" descr="部门支出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部门支出总表"/>
                    <pic:cNvPicPr>
                      <a:picLocks noChangeAspect="1"/>
                    </pic:cNvPicPr>
                  </pic:nvPicPr>
                  <pic:blipFill>
                    <a:blip r:embed="rId12"/>
                    <a:stretch>
                      <a:fillRect/>
                    </a:stretch>
                  </pic:blipFill>
                  <pic:spPr>
                    <a:xfrm>
                      <a:off x="0" y="0"/>
                      <a:ext cx="5273040" cy="1654810"/>
                    </a:xfrm>
                    <a:prstGeom prst="rect">
                      <a:avLst/>
                    </a:prstGeom>
                    <a:noFill/>
                    <a:ln>
                      <a:noFill/>
                    </a:ln>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十、项目支出绩效信息表</w:t>
      </w:r>
    </w:p>
    <w:p>
      <w:pPr>
        <w:ind w:left="800"/>
        <w:jc w:val="center"/>
        <w:rPr>
          <w:rFonts w:hint="eastAsia" w:ascii="仿宋_GB2312" w:hAnsi="黑体" w:eastAsia="仿宋_GB2312"/>
          <w:b/>
          <w:sz w:val="32"/>
          <w:szCs w:val="32"/>
          <w:lang w:eastAsia="zh-CN"/>
        </w:rPr>
      </w:pPr>
      <w:r>
        <w:rPr>
          <w:rFonts w:hint="eastAsia" w:ascii="仿宋_GB2312" w:hAnsi="黑体" w:eastAsia="仿宋_GB2312"/>
          <w:b/>
          <w:sz w:val="32"/>
          <w:szCs w:val="32"/>
          <w:lang w:eastAsia="zh-CN"/>
        </w:rPr>
        <w:drawing>
          <wp:inline distT="0" distB="0" distL="114300" distR="114300">
            <wp:extent cx="5273040" cy="1349375"/>
            <wp:effectExtent l="0" t="0" r="3810" b="3175"/>
            <wp:docPr id="10" name="图片 10" descr="项目支出绩效信息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项目支出绩效信息表"/>
                    <pic:cNvPicPr>
                      <a:picLocks noChangeAspect="1"/>
                    </pic:cNvPicPr>
                  </pic:nvPicPr>
                  <pic:blipFill>
                    <a:blip r:embed="rId13"/>
                    <a:stretch>
                      <a:fillRect/>
                    </a:stretch>
                  </pic:blipFill>
                  <pic:spPr>
                    <a:xfrm>
                      <a:off x="0" y="0"/>
                      <a:ext cx="5273040" cy="1349375"/>
                    </a:xfrm>
                    <a:prstGeom prst="rect">
                      <a:avLst/>
                    </a:prstGeom>
                    <a:noFill/>
                    <a:ln>
                      <a:noFill/>
                    </a:ln>
                  </pic:spPr>
                </pic:pic>
              </a:graphicData>
            </a:graphic>
          </wp:inline>
        </w:drawing>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海口市金融管理局2021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val="en-US" w:eastAsia="zh-CN"/>
        </w:rPr>
        <w:t>海口市金融管理局2021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海口市金融管理局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无</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比较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海口市金融管理局为2021年11月26日经省委编委批准设立，尚未正式挂牌成立。</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金融</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无上年预算数比较。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val="en-US" w:eastAsia="zh-CN"/>
        </w:rPr>
        <w:t>海口市金融管理局2021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海口市金融管理局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未申报此项预算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val="en-US" w:eastAsia="zh-CN"/>
        </w:rPr>
        <w:t>海口市金融管理局2021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海口市金融管理局2021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1.89</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1.89</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val="en-US" w:eastAsia="zh-CN"/>
        </w:rPr>
        <w:t>无上年预算数比较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十七</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126</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海口市金融管理局2021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未申报此项预算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val="en-US" w:eastAsia="zh-CN"/>
        </w:rPr>
        <w:t>海口市金融管理局2021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楷体" w:hAnsi="楷体" w:eastAsia="楷体"/>
          <w:sz w:val="32"/>
          <w:szCs w:val="32"/>
          <w:lang w:val="en-US" w:eastAsia="zh-CN"/>
        </w:rPr>
        <w:t>海口</w:t>
      </w:r>
      <w:r>
        <w:rPr>
          <w:rFonts w:hint="eastAsia" w:ascii="仿宋_GB2312" w:hAnsi="黑体" w:eastAsia="仿宋_GB2312" w:cs="仿宋_GB2312"/>
          <w:sz w:val="32"/>
          <w:szCs w:val="32"/>
          <w:lang w:val="en-US" w:eastAsia="zh-CN"/>
        </w:rPr>
        <w:t>市金融管理局未申报此项预算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val="en-US" w:eastAsia="zh-CN"/>
        </w:rPr>
        <w:t>海口市金融管理局2021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海口市金融管理局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金融</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海口市金融管理局2021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val="en-US" w:eastAsia="zh-CN"/>
        </w:rPr>
        <w:t>海口市金融管理局2021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海口市金融管理局2021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比较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海口市金融管理局为2021年11月26日经省委编委批准设立，当时尚未正式挂牌成立。</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val="en-US" w:eastAsia="zh-CN"/>
        </w:rPr>
        <w:t>海口市金融管理局2021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海口市金融管理局2021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111.63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62.02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68.37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37.98</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比较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海口市金融管理局为2021年11月26日经省委编委批准设立，当时尚未正式挂牌成立。</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海口市金融管理局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海口市金融管理局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53.37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53.37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海口市金融管理局暂无国有资产占有。</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海口市金融管理局4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180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0000000000000000000"/>
    <w:charset w:val="86"/>
    <w:family w:val="swiss"/>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angSong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00BE4"/>
    <w:rsid w:val="093D5164"/>
    <w:rsid w:val="0D9A2B40"/>
    <w:rsid w:val="114A6CE9"/>
    <w:rsid w:val="171A6140"/>
    <w:rsid w:val="1E9E6F8F"/>
    <w:rsid w:val="460528F4"/>
    <w:rsid w:val="50910E5A"/>
    <w:rsid w:val="66C138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31"/>
    <w:basedOn w:val="5"/>
    <w:qFormat/>
    <w:uiPriority w:val="0"/>
    <w:rPr>
      <w:rFonts w:hint="eastAsia" w:ascii="宋体" w:hAnsi="宋体" w:eastAsia="宋体" w:cs="宋体"/>
      <w:color w:val="000000"/>
      <w:sz w:val="22"/>
      <w:szCs w:val="22"/>
      <w:u w:val="none"/>
    </w:rPr>
  </w:style>
  <w:style w:type="paragraph" w:customStyle="1" w:styleId="11">
    <w:name w:val="CM8"/>
    <w:basedOn w:val="12"/>
    <w:next w:val="12"/>
    <w:unhideWhenUsed/>
    <w:uiPriority w:val="99"/>
    <w:pPr>
      <w:spacing w:beforeLines="0" w:afterLines="0"/>
    </w:pPr>
    <w:rPr>
      <w:rFonts w:hint="default"/>
      <w:sz w:val="24"/>
    </w:rPr>
  </w:style>
  <w:style w:type="paragraph" w:customStyle="1" w:styleId="12">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paragraph" w:customStyle="1" w:styleId="13">
    <w:name w:val="CM5"/>
    <w:basedOn w:val="12"/>
    <w:next w:val="12"/>
    <w:unhideWhenUsed/>
    <w:uiPriority w:val="99"/>
    <w:pPr>
      <w:spacing w:beforeLines="0" w:afterLines="0" w:line="600" w:lineRule="atLeast"/>
    </w:pPr>
    <w:rPr>
      <w:rFonts w:hint="default"/>
      <w:sz w:val="24"/>
    </w:rPr>
  </w:style>
  <w:style w:type="paragraph" w:customStyle="1" w:styleId="14">
    <w:name w:val="CM6"/>
    <w:basedOn w:val="12"/>
    <w:next w:val="12"/>
    <w:unhideWhenUsed/>
    <w:uiPriority w:val="99"/>
    <w:pPr>
      <w:spacing w:beforeLines="0" w:afterLines="0" w:line="600" w:lineRule="atLeast"/>
    </w:pPr>
    <w:rPr>
      <w:rFonts w:hint="default"/>
      <w:sz w:val="24"/>
    </w:rPr>
  </w:style>
  <w:style w:type="paragraph" w:customStyle="1" w:styleId="15">
    <w:name w:val="CM3"/>
    <w:basedOn w:val="12"/>
    <w:next w:val="12"/>
    <w:unhideWhenUsed/>
    <w:qFormat/>
    <w:uiPriority w:val="99"/>
    <w:pPr>
      <w:spacing w:beforeLines="0" w:afterLines="0" w:line="598" w:lineRule="atLeast"/>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2022-09-06T07:47:08Z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