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54" w:rsidRDefault="00637654" w:rsidP="000B64BA">
      <w:pPr>
        <w:tabs>
          <w:tab w:val="left" w:pos="2733"/>
        </w:tabs>
        <w:spacing w:line="249" w:lineRule="auto"/>
      </w:pPr>
    </w:p>
    <w:p w:rsidR="00637654" w:rsidRDefault="00637654">
      <w:pPr>
        <w:spacing w:line="250" w:lineRule="auto"/>
      </w:pPr>
    </w:p>
    <w:p w:rsidR="00637654" w:rsidRDefault="0060586F">
      <w:pPr>
        <w:spacing w:before="143" w:line="219" w:lineRule="auto"/>
        <w:ind w:firstLine="1075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14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海南省气象局</w:t>
      </w:r>
      <w:r>
        <w:rPr>
          <w:rFonts w:ascii="宋体" w:eastAsia="宋体" w:hAnsi="宋体" w:cs="宋体"/>
          <w:spacing w:val="-24"/>
          <w:sz w:val="44"/>
          <w:szCs w:val="44"/>
        </w:rPr>
        <w:t xml:space="preserve"> </w:t>
      </w:r>
      <w:r>
        <w:rPr>
          <w:rFonts w:ascii="宋体" w:eastAsia="宋体" w:hAnsi="宋体" w:cs="宋体"/>
          <w:spacing w:val="-14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海南省住房和城乡建设厅</w:t>
      </w:r>
    </w:p>
    <w:p w:rsidR="00637654" w:rsidRDefault="0060586F">
      <w:pPr>
        <w:spacing w:before="196" w:line="314" w:lineRule="auto"/>
        <w:ind w:left="1633" w:right="1021" w:hanging="558"/>
        <w:rPr>
          <w:rFonts w:ascii="宋体" w:eastAsia="宋体" w:hAnsi="宋体" w:cs="宋体" w:hint="eastAsia"/>
          <w:spacing w:val="-17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</w:pPr>
      <w:r>
        <w:rPr>
          <w:rFonts w:ascii="宋体" w:eastAsia="宋体" w:hAnsi="宋体" w:cs="宋体"/>
          <w:spacing w:val="-10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关于调整贯彻落实省政府优化建设工程</w:t>
      </w:r>
      <w:r>
        <w:rPr>
          <w:rFonts w:ascii="宋体" w:eastAsia="宋体" w:hAnsi="宋体" w:cs="宋体"/>
          <w:spacing w:val="12"/>
          <w:sz w:val="44"/>
          <w:szCs w:val="44"/>
        </w:rPr>
        <w:t xml:space="preserve"> </w:t>
      </w:r>
      <w:r>
        <w:rPr>
          <w:rFonts w:ascii="宋体" w:eastAsia="宋体" w:hAnsi="宋体" w:cs="宋体"/>
          <w:spacing w:val="-17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防雷许可实施意见部分内容的通知</w:t>
      </w:r>
    </w:p>
    <w:p w:rsidR="000B64BA" w:rsidRDefault="000B64BA" w:rsidP="000B64BA">
      <w:pPr>
        <w:spacing w:before="104" w:line="224" w:lineRule="auto"/>
        <w:ind w:firstLine="3209"/>
        <w:rPr>
          <w:rFonts w:ascii="FangSong" w:hAnsi="FangSong" w:cs="FangSong" w:hint="eastAsia"/>
          <w:spacing w:val="-10"/>
          <w:sz w:val="32"/>
          <w:szCs w:val="32"/>
        </w:rPr>
      </w:pPr>
    </w:p>
    <w:p w:rsidR="000B64BA" w:rsidRDefault="000B64BA" w:rsidP="000B64BA">
      <w:pPr>
        <w:spacing w:before="104" w:line="224" w:lineRule="auto"/>
        <w:ind w:firstLine="320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0"/>
          <w:sz w:val="32"/>
          <w:szCs w:val="32"/>
        </w:rPr>
        <w:t>琼气发〔2020</w:t>
      </w:r>
      <w:r>
        <w:rPr>
          <w:rFonts w:ascii="FangSong" w:eastAsia="FangSong" w:hAnsi="FangSong" w:cs="FangSong"/>
          <w:spacing w:val="-6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0"/>
          <w:sz w:val="32"/>
          <w:szCs w:val="32"/>
        </w:rPr>
        <w:t>〕11号</w:t>
      </w:r>
    </w:p>
    <w:p w:rsidR="000B64BA" w:rsidRDefault="000B64BA">
      <w:pPr>
        <w:spacing w:before="196" w:line="314" w:lineRule="auto"/>
        <w:ind w:left="1633" w:right="1021" w:hanging="558"/>
        <w:rPr>
          <w:rFonts w:ascii="宋体" w:eastAsia="宋体" w:hAnsi="宋体" w:cs="宋体"/>
          <w:sz w:val="44"/>
          <w:szCs w:val="44"/>
        </w:rPr>
      </w:pPr>
    </w:p>
    <w:p w:rsidR="00637654" w:rsidRDefault="00637654">
      <w:pPr>
        <w:spacing w:line="416" w:lineRule="auto"/>
      </w:pPr>
    </w:p>
    <w:p w:rsidR="00637654" w:rsidRDefault="0060586F">
      <w:pPr>
        <w:spacing w:before="104" w:line="221" w:lineRule="auto"/>
        <w:ind w:firstLine="15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3"/>
          <w:sz w:val="32"/>
          <w:szCs w:val="32"/>
        </w:rPr>
        <w:t>各市、县、自治县气象局、住房和城乡建设局，各有关单位</w:t>
      </w:r>
      <w:r>
        <w:rPr>
          <w:rFonts w:ascii="FangSong" w:eastAsia="FangSong" w:hAnsi="FangSong" w:cs="FangSong"/>
          <w:spacing w:val="-13"/>
          <w:sz w:val="32"/>
          <w:szCs w:val="32"/>
        </w:rPr>
        <w:t>∶</w:t>
      </w:r>
    </w:p>
    <w:p w:rsidR="00637654" w:rsidRDefault="0060586F">
      <w:pPr>
        <w:spacing w:before="169" w:line="325" w:lineRule="auto"/>
        <w:ind w:left="159" w:firstLine="77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3"/>
          <w:sz w:val="32"/>
          <w:szCs w:val="32"/>
        </w:rPr>
        <w:t>为进一步贯彻落实国务院、省政府关于优化建设工程防雷许可</w:t>
      </w:r>
      <w:r>
        <w:rPr>
          <w:rFonts w:ascii="FangSong" w:eastAsia="FangSong" w:hAnsi="FangSong" w:cs="FangSong"/>
          <w:spacing w:val="6"/>
          <w:sz w:val="32"/>
          <w:szCs w:val="32"/>
        </w:rPr>
        <w:t xml:space="preserve">  </w:t>
      </w:r>
      <w:r>
        <w:rPr>
          <w:rFonts w:ascii="FangSong" w:eastAsia="FangSong" w:hAnsi="FangSong" w:cs="FangSong"/>
          <w:spacing w:val="-7"/>
          <w:sz w:val="32"/>
          <w:szCs w:val="32"/>
        </w:rPr>
        <w:t>的部署，海南省气象局、海南省住房和城乡建设厅对《海南省气象</w:t>
      </w:r>
      <w:r>
        <w:rPr>
          <w:rFonts w:ascii="FangSong" w:eastAsia="FangSong" w:hAnsi="FangSong" w:cs="FangSong"/>
          <w:spacing w:val="3"/>
          <w:sz w:val="32"/>
          <w:szCs w:val="32"/>
        </w:rPr>
        <w:t xml:space="preserve">  </w:t>
      </w:r>
      <w:r>
        <w:rPr>
          <w:rFonts w:ascii="FangSong" w:eastAsia="FangSong" w:hAnsi="FangSong" w:cs="FangSong"/>
          <w:spacing w:val="1"/>
          <w:sz w:val="32"/>
          <w:szCs w:val="32"/>
        </w:rPr>
        <w:t>局</w:t>
      </w:r>
      <w:r>
        <w:rPr>
          <w:rFonts w:ascii="FangSong" w:eastAsia="FangSong" w:hAnsi="FangSong" w:cs="FangSong"/>
          <w:spacing w:val="-24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"/>
          <w:sz w:val="32"/>
          <w:szCs w:val="32"/>
        </w:rPr>
        <w:t>海南省住房和城乡建设厅关于贯彻落实省政府优化建设工程防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6"/>
          <w:sz w:val="32"/>
          <w:szCs w:val="32"/>
        </w:rPr>
        <w:t>雷许可实施意见的通知》（琼气发〔</w:t>
      </w:r>
      <w:r>
        <w:rPr>
          <w:rFonts w:ascii="FangSong" w:eastAsia="FangSong" w:hAnsi="FangSong" w:cs="FangSong"/>
          <w:spacing w:val="-16"/>
          <w:sz w:val="32"/>
          <w:szCs w:val="32"/>
        </w:rPr>
        <w:t>2017</w:t>
      </w:r>
      <w:r>
        <w:rPr>
          <w:rFonts w:ascii="FangSong" w:eastAsia="FangSong" w:hAnsi="FangSong" w:cs="FangSong"/>
          <w:spacing w:val="-16"/>
          <w:sz w:val="32"/>
          <w:szCs w:val="32"/>
        </w:rPr>
        <w:t>〕</w:t>
      </w:r>
      <w:r>
        <w:rPr>
          <w:rFonts w:ascii="FangSong" w:eastAsia="FangSong" w:hAnsi="FangSong" w:cs="FangSong"/>
          <w:spacing w:val="-16"/>
          <w:sz w:val="32"/>
          <w:szCs w:val="32"/>
        </w:rPr>
        <w:t>2</w:t>
      </w:r>
      <w:r>
        <w:rPr>
          <w:rFonts w:ascii="FangSong" w:eastAsia="FangSong" w:hAnsi="FangSong" w:cs="FangSong"/>
          <w:spacing w:val="-16"/>
          <w:sz w:val="32"/>
          <w:szCs w:val="32"/>
        </w:rPr>
        <w:t>号，以下简称《通知》）</w:t>
      </w:r>
      <w:r>
        <w:rPr>
          <w:rFonts w:ascii="FangSong" w:eastAsia="FangSong" w:hAnsi="FangSong" w:cs="FangSong"/>
          <w:spacing w:val="28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8"/>
          <w:sz w:val="32"/>
          <w:szCs w:val="32"/>
        </w:rPr>
        <w:t>部分内容进行调整，现将有关事项通知如下。</w:t>
      </w:r>
    </w:p>
    <w:p w:rsidR="00637654" w:rsidRDefault="0060586F">
      <w:pPr>
        <w:spacing w:before="2" w:line="188" w:lineRule="auto"/>
        <w:ind w:firstLine="93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2"/>
          <w:sz w:val="32"/>
          <w:szCs w:val="32"/>
        </w:rPr>
        <w:t>一、将《通知》中第二条第二项的</w:t>
      </w:r>
      <w:r>
        <w:rPr>
          <w:rFonts w:ascii="FangSong" w:eastAsia="FangSong" w:hAnsi="FangSong" w:cs="FangSong"/>
          <w:spacing w:val="-12"/>
          <w:sz w:val="32"/>
          <w:szCs w:val="32"/>
        </w:rPr>
        <w:t>“</w:t>
      </w:r>
      <w:r>
        <w:rPr>
          <w:rFonts w:ascii="FangSong" w:eastAsia="FangSong" w:hAnsi="FangSong" w:cs="FangSong"/>
          <w:spacing w:val="-12"/>
          <w:sz w:val="32"/>
          <w:szCs w:val="32"/>
        </w:rPr>
        <w:t>建设单位应委托具有防雷</w:t>
      </w:r>
    </w:p>
    <w:p w:rsidR="00637654" w:rsidRDefault="00637654">
      <w:pPr>
        <w:sectPr w:rsidR="00637654">
          <w:footerReference w:type="default" r:id="rId7"/>
          <w:type w:val="continuous"/>
          <w:pgSz w:w="12230" w:h="15840"/>
          <w:pgMar w:top="1346" w:right="1260" w:bottom="341" w:left="1550" w:header="0" w:footer="197" w:gutter="0"/>
          <w:cols w:space="720" w:equalWidth="0">
            <w:col w:w="9420" w:space="0"/>
          </w:cols>
        </w:sectPr>
      </w:pPr>
    </w:p>
    <w:p w:rsidR="00637654" w:rsidRDefault="00637654">
      <w:pPr>
        <w:spacing w:line="290" w:lineRule="auto"/>
      </w:pPr>
    </w:p>
    <w:p w:rsidR="00637654" w:rsidRDefault="00637654">
      <w:pPr>
        <w:spacing w:line="291" w:lineRule="auto"/>
      </w:pPr>
    </w:p>
    <w:p w:rsidR="00637654" w:rsidRDefault="00637654">
      <w:pPr>
        <w:spacing w:line="291" w:lineRule="auto"/>
      </w:pPr>
    </w:p>
    <w:p w:rsidR="00637654" w:rsidRDefault="0060586F">
      <w:pPr>
        <w:spacing w:before="104" w:line="323" w:lineRule="auto"/>
        <w:ind w:left="99" w:right="93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1"/>
          <w:sz w:val="32"/>
          <w:szCs w:val="32"/>
        </w:rPr>
        <w:t>检测资质的检测单位承担防雷装置检测，防雷装置检测报告及防雷</w:t>
      </w:r>
      <w:r>
        <w:rPr>
          <w:rFonts w:ascii="FangSong" w:eastAsia="FangSong" w:hAnsi="FangSong" w:cs="FangSong"/>
          <w:spacing w:val="5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1"/>
          <w:sz w:val="32"/>
          <w:szCs w:val="32"/>
        </w:rPr>
        <w:t>工程竣工验收资料纳入建设项目档案</w:t>
      </w:r>
      <w:r>
        <w:rPr>
          <w:rFonts w:ascii="FangSong" w:eastAsia="FangSong" w:hAnsi="FangSong" w:cs="FangSong"/>
          <w:spacing w:val="-11"/>
          <w:sz w:val="32"/>
          <w:szCs w:val="32"/>
        </w:rPr>
        <w:t>”</w:t>
      </w:r>
      <w:r>
        <w:rPr>
          <w:rFonts w:ascii="FangSong" w:eastAsia="FangSong" w:hAnsi="FangSong" w:cs="FangSong"/>
          <w:spacing w:val="-11"/>
          <w:sz w:val="32"/>
          <w:szCs w:val="32"/>
        </w:rPr>
        <w:t>的表述内容，调整为</w:t>
      </w:r>
      <w:r>
        <w:rPr>
          <w:rFonts w:ascii="FangSong" w:eastAsia="FangSong" w:hAnsi="FangSong" w:cs="FangSong"/>
          <w:spacing w:val="-11"/>
          <w:sz w:val="32"/>
          <w:szCs w:val="32"/>
        </w:rPr>
        <w:t>∶“</w:t>
      </w:r>
      <w:r>
        <w:rPr>
          <w:rFonts w:ascii="FangSong" w:eastAsia="FangSong" w:hAnsi="FangSong" w:cs="FangSong"/>
          <w:spacing w:val="-11"/>
          <w:sz w:val="32"/>
          <w:szCs w:val="32"/>
        </w:rPr>
        <w:t>属</w:t>
      </w:r>
      <w:r>
        <w:rPr>
          <w:rFonts w:ascii="FangSong" w:eastAsia="FangSong" w:hAnsi="FangSong" w:cs="FangSong"/>
          <w:spacing w:val="5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2"/>
          <w:sz w:val="32"/>
          <w:szCs w:val="32"/>
        </w:rPr>
        <w:t>于气象部门审批范围的防雷工程项目，气象审批主管部门应委托具</w:t>
      </w:r>
      <w:r>
        <w:rPr>
          <w:rFonts w:ascii="FangSong" w:eastAsia="FangSong" w:hAnsi="FangSong" w:cs="FangSong"/>
          <w:spacing w:val="19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2"/>
          <w:sz w:val="32"/>
          <w:szCs w:val="32"/>
        </w:rPr>
        <w:t>有防雷检测资质的检测单位承担防雷装置检测，并组织防雷工程竣</w:t>
      </w:r>
      <w:r>
        <w:rPr>
          <w:rFonts w:ascii="FangSong" w:eastAsia="FangSong" w:hAnsi="FangSong" w:cs="FangSong"/>
          <w:spacing w:val="19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1"/>
          <w:sz w:val="32"/>
          <w:szCs w:val="32"/>
        </w:rPr>
        <w:t>工验收，防雷装置检测报告及防雷工程竣工验收资料纳入建设项目</w:t>
      </w:r>
      <w:r>
        <w:rPr>
          <w:rFonts w:ascii="FangSong" w:eastAsia="FangSong" w:hAnsi="FangSong" w:cs="FangSong"/>
          <w:spacing w:val="1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6"/>
          <w:sz w:val="32"/>
          <w:szCs w:val="32"/>
        </w:rPr>
        <w:t>档案</w:t>
      </w:r>
      <w:r>
        <w:rPr>
          <w:rFonts w:ascii="FangSong" w:eastAsia="FangSong" w:hAnsi="FangSong" w:cs="FangSong"/>
          <w:spacing w:val="-26"/>
          <w:sz w:val="32"/>
          <w:szCs w:val="32"/>
        </w:rPr>
        <w:t>”</w:t>
      </w:r>
      <w:r>
        <w:rPr>
          <w:rFonts w:ascii="FangSong" w:eastAsia="FangSong" w:hAnsi="FangSong" w:cs="FangSong"/>
          <w:spacing w:val="-26"/>
          <w:sz w:val="32"/>
          <w:szCs w:val="32"/>
        </w:rPr>
        <w:t>。《通知》实施意见的其余内容保持不变。</w:t>
      </w:r>
    </w:p>
    <w:p w:rsidR="00637654" w:rsidRDefault="0060586F">
      <w:pPr>
        <w:spacing w:line="324" w:lineRule="auto"/>
        <w:ind w:firstLine="75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7"/>
          <w:sz w:val="32"/>
          <w:szCs w:val="32"/>
        </w:rPr>
        <w:t>二、将《通知》附件</w:t>
      </w:r>
      <w:r>
        <w:rPr>
          <w:rFonts w:ascii="FangSong" w:eastAsia="FangSong" w:hAnsi="FangSong" w:cs="FangSong"/>
          <w:spacing w:val="-7"/>
          <w:sz w:val="32"/>
          <w:szCs w:val="32"/>
        </w:rPr>
        <w:t>1</w:t>
      </w:r>
      <w:r>
        <w:rPr>
          <w:rFonts w:ascii="FangSong" w:eastAsia="FangSong" w:hAnsi="FangSong" w:cs="FangSong"/>
          <w:spacing w:val="-7"/>
          <w:sz w:val="32"/>
          <w:szCs w:val="32"/>
        </w:rPr>
        <w:t>和补充附件规定由气象部门承担的高度</w:t>
      </w:r>
      <w:r>
        <w:rPr>
          <w:rFonts w:ascii="FangSong" w:eastAsia="FangSong" w:hAnsi="FangSong" w:cs="FangSong"/>
          <w:spacing w:val="1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3"/>
          <w:sz w:val="32"/>
          <w:szCs w:val="32"/>
        </w:rPr>
        <w:t>超过</w:t>
      </w:r>
      <w:r>
        <w:rPr>
          <w:rFonts w:ascii="FangSong" w:eastAsia="FangSong" w:hAnsi="FangSong" w:cs="FangSong"/>
          <w:spacing w:val="-3"/>
          <w:sz w:val="32"/>
          <w:szCs w:val="32"/>
        </w:rPr>
        <w:t>100</w:t>
      </w:r>
      <w:r>
        <w:rPr>
          <w:rFonts w:ascii="FangSong" w:eastAsia="FangSong" w:hAnsi="FangSong" w:cs="FangSong"/>
          <w:spacing w:val="-3"/>
          <w:sz w:val="32"/>
          <w:szCs w:val="32"/>
        </w:rPr>
        <w:t>米的超高层建（构）项目、悬索桥、斜拉桥、高耸结构类</w:t>
      </w:r>
      <w:r>
        <w:rPr>
          <w:rFonts w:ascii="FangSong" w:eastAsia="FangSong" w:hAnsi="FangSong" w:cs="FangSong"/>
          <w:spacing w:val="24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8"/>
          <w:sz w:val="32"/>
          <w:szCs w:val="32"/>
        </w:rPr>
        <w:t>型的特殊桥梁、城市轨道交通、体育场馆等房屋建筑工程和市政基</w:t>
      </w:r>
      <w:r>
        <w:rPr>
          <w:rFonts w:ascii="FangSong" w:eastAsia="FangSong" w:hAnsi="FangSong" w:cs="FangSong"/>
          <w:spacing w:val="3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8"/>
          <w:sz w:val="32"/>
          <w:szCs w:val="32"/>
        </w:rPr>
        <w:t>础设施工程防雷装置设计审核、竣工验收许可，调整为住房和城乡</w:t>
      </w:r>
      <w:r>
        <w:rPr>
          <w:rFonts w:ascii="FangSong" w:eastAsia="FangSong" w:hAnsi="FangSong" w:cs="FangSong"/>
          <w:spacing w:val="13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8"/>
          <w:sz w:val="32"/>
          <w:szCs w:val="32"/>
        </w:rPr>
        <w:t>建设部门统一监管，整合纳入建筑工程施工图审查、竣工验收备案</w:t>
      </w:r>
      <w:r>
        <w:rPr>
          <w:rFonts w:ascii="FangSong" w:eastAsia="FangSong" w:hAnsi="FangSong" w:cs="FangSong"/>
          <w:spacing w:val="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9"/>
          <w:sz w:val="32"/>
          <w:szCs w:val="32"/>
        </w:rPr>
        <w:t>流程。《通知》的附件</w:t>
      </w:r>
      <w:r>
        <w:rPr>
          <w:rFonts w:ascii="FangSong" w:eastAsia="FangSong" w:hAnsi="FangSong" w:cs="FangSong"/>
          <w:spacing w:val="-9"/>
          <w:sz w:val="32"/>
          <w:szCs w:val="32"/>
        </w:rPr>
        <w:t>1</w:t>
      </w:r>
      <w:r>
        <w:rPr>
          <w:rFonts w:ascii="FangSong" w:eastAsia="FangSong" w:hAnsi="FangSong" w:cs="FangSong"/>
          <w:spacing w:val="-9"/>
          <w:sz w:val="32"/>
          <w:szCs w:val="32"/>
        </w:rPr>
        <w:t>和补充附件即行废止，以本通知附件为准。</w:t>
      </w:r>
    </w:p>
    <w:p w:rsidR="00637654" w:rsidRDefault="0060586F">
      <w:pPr>
        <w:spacing w:line="323" w:lineRule="auto"/>
        <w:ind w:right="104" w:firstLine="74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2"/>
          <w:sz w:val="32"/>
          <w:szCs w:val="32"/>
        </w:rPr>
        <w:t>三、气象、住房和城乡建设部门要按照调整后的建设工程防雷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8"/>
          <w:sz w:val="32"/>
          <w:szCs w:val="32"/>
        </w:rPr>
        <w:t>安全监管范围清单，及时梳理修改相关行政审批事项清单、办事指</w:t>
      </w:r>
      <w:r>
        <w:rPr>
          <w:rFonts w:ascii="FangSong" w:eastAsia="FangSong" w:hAnsi="FangSong" w:cs="FangSong"/>
          <w:spacing w:val="7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0"/>
          <w:sz w:val="32"/>
          <w:szCs w:val="32"/>
        </w:rPr>
        <w:t>南，确保其符合国务院</w:t>
      </w:r>
      <w:r>
        <w:rPr>
          <w:rFonts w:ascii="FangSong" w:eastAsia="FangSong" w:hAnsi="FangSong" w:cs="FangSong"/>
          <w:spacing w:val="-10"/>
          <w:sz w:val="32"/>
          <w:szCs w:val="32"/>
        </w:rPr>
        <w:t>“</w:t>
      </w:r>
      <w:r>
        <w:rPr>
          <w:rFonts w:ascii="FangSong" w:eastAsia="FangSong" w:hAnsi="FangSong" w:cs="FangSong"/>
          <w:spacing w:val="-10"/>
          <w:sz w:val="32"/>
          <w:szCs w:val="32"/>
        </w:rPr>
        <w:t>放管服</w:t>
      </w:r>
      <w:r>
        <w:rPr>
          <w:rFonts w:ascii="FangSong" w:eastAsia="FangSong" w:hAnsi="FangSong" w:cs="FangSong"/>
          <w:spacing w:val="-10"/>
          <w:sz w:val="32"/>
          <w:szCs w:val="32"/>
        </w:rPr>
        <w:t>”</w:t>
      </w:r>
      <w:r>
        <w:rPr>
          <w:rFonts w:ascii="FangSong" w:eastAsia="FangSong" w:hAnsi="FangSong" w:cs="FangSong"/>
          <w:spacing w:val="-10"/>
          <w:sz w:val="32"/>
          <w:szCs w:val="32"/>
        </w:rPr>
        <w:t>改革要求。</w:t>
      </w:r>
    </w:p>
    <w:p w:rsidR="00637654" w:rsidRDefault="0060586F">
      <w:pPr>
        <w:spacing w:before="2" w:line="320" w:lineRule="auto"/>
        <w:ind w:right="116" w:firstLine="66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0"/>
          <w:sz w:val="32"/>
          <w:szCs w:val="32"/>
        </w:rPr>
        <w:t>四、对于本次调整监管范围内的房屋建筑工程和市政基础设施</w:t>
      </w:r>
      <w:r>
        <w:rPr>
          <w:rFonts w:ascii="FangSong" w:eastAsia="FangSong" w:hAnsi="FangSong" w:cs="FangSong"/>
          <w:spacing w:val="14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8"/>
          <w:sz w:val="32"/>
          <w:szCs w:val="32"/>
        </w:rPr>
        <w:t>工程，已完成防雷装置设计审核许可、尚未竣工验收的，仍由气象</w:t>
      </w:r>
      <w:r>
        <w:rPr>
          <w:rFonts w:ascii="FangSong" w:eastAsia="FangSong" w:hAnsi="FangSong" w:cs="FangSong"/>
          <w:spacing w:val="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3"/>
          <w:sz w:val="32"/>
          <w:szCs w:val="32"/>
        </w:rPr>
        <w:t>部门负责其竣工验收许可</w:t>
      </w:r>
      <w:r>
        <w:rPr>
          <w:rFonts w:ascii="FangSong" w:eastAsia="FangSong" w:hAnsi="FangSong" w:cs="FangSong"/>
          <w:spacing w:val="-3"/>
          <w:sz w:val="32"/>
          <w:szCs w:val="32"/>
        </w:rPr>
        <w:t>;</w:t>
      </w:r>
      <w:r>
        <w:rPr>
          <w:rFonts w:ascii="FangSong" w:eastAsia="FangSong" w:hAnsi="FangSong" w:cs="FangSong"/>
          <w:spacing w:val="-3"/>
          <w:sz w:val="32"/>
          <w:szCs w:val="32"/>
        </w:rPr>
        <w:t>防雷装置设计审核尚未受理的，气象部</w:t>
      </w:r>
      <w:r>
        <w:rPr>
          <w:rFonts w:ascii="FangSong" w:eastAsia="FangSong" w:hAnsi="FangSong" w:cs="FangSong"/>
          <w:spacing w:val="5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0"/>
          <w:sz w:val="32"/>
          <w:szCs w:val="32"/>
        </w:rPr>
        <w:t>门不再受理，纳入住房和城乡建设部门监管。</w:t>
      </w:r>
    </w:p>
    <w:p w:rsidR="00637654" w:rsidRDefault="0060586F">
      <w:pPr>
        <w:spacing w:before="1" w:line="220" w:lineRule="auto"/>
        <w:ind w:firstLine="72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0"/>
          <w:sz w:val="32"/>
          <w:szCs w:val="32"/>
        </w:rPr>
        <w:t>本通知自下发之日起执行。</w:t>
      </w:r>
    </w:p>
    <w:p w:rsidR="00637654" w:rsidRDefault="00637654">
      <w:pPr>
        <w:sectPr w:rsidR="00637654">
          <w:footerReference w:type="default" r:id="rId8"/>
          <w:pgSz w:w="12230" w:h="15840"/>
          <w:pgMar w:top="1346" w:right="1320" w:bottom="539" w:left="1739" w:header="0" w:footer="381" w:gutter="0"/>
          <w:cols w:space="720"/>
        </w:sectPr>
      </w:pPr>
    </w:p>
    <w:p w:rsidR="00637654" w:rsidRDefault="0060586F">
      <w:pPr>
        <w:spacing w:line="271" w:lineRule="auto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12.5pt;margin-top:226.3pt;width:91.85pt;height:18.95pt;z-index:251658240;mso-position-horizontal-relative:page;mso-position-vertical-relative:page" o:allowincell="f" filled="f" stroked="f">
            <v:textbox inset="0,0,0,0">
              <w:txbxContent>
                <w:p w:rsidR="00637654" w:rsidRDefault="0060586F">
                  <w:pPr>
                    <w:spacing w:before="20" w:line="223" w:lineRule="auto"/>
                    <w:ind w:firstLine="20"/>
                    <w:rPr>
                      <w:rFonts w:ascii="FangSong" w:eastAsia="FangSong" w:hAnsi="FangSong" w:cs="FangSong"/>
                      <w:sz w:val="28"/>
                      <w:szCs w:val="28"/>
                    </w:rPr>
                  </w:pPr>
                  <w:r>
                    <w:rPr>
                      <w:rFonts w:ascii="FangSong" w:eastAsia="FangSong" w:hAnsi="FangSong" w:cs="FangSong"/>
                      <w:spacing w:val="19"/>
                      <w:sz w:val="28"/>
                      <w:szCs w:val="28"/>
                    </w:rPr>
                    <w:t>海南省气象局</w:t>
                  </w:r>
                </w:p>
              </w:txbxContent>
            </v:textbox>
            <w10:wrap anchorx="page" anchory="page"/>
          </v:shape>
        </w:pict>
      </w:r>
    </w:p>
    <w:p w:rsidR="00637654" w:rsidRDefault="00637654">
      <w:pPr>
        <w:spacing w:line="272" w:lineRule="auto"/>
      </w:pPr>
    </w:p>
    <w:p w:rsidR="00637654" w:rsidRDefault="00637654">
      <w:pPr>
        <w:spacing w:line="272" w:lineRule="auto"/>
      </w:pPr>
    </w:p>
    <w:p w:rsidR="00637654" w:rsidRDefault="0060586F">
      <w:pPr>
        <w:spacing w:before="91" w:line="401" w:lineRule="auto"/>
        <w:ind w:left="1748" w:right="211" w:hanging="1059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30"/>
          <w:w w:val="101"/>
          <w:sz w:val="28"/>
          <w:szCs w:val="28"/>
        </w:rPr>
        <w:t>附件</w:t>
      </w:r>
      <w:r>
        <w:rPr>
          <w:rFonts w:ascii="FangSong" w:eastAsia="FangSong" w:hAnsi="FangSong" w:cs="FangSong"/>
          <w:spacing w:val="30"/>
          <w:w w:val="101"/>
          <w:sz w:val="28"/>
          <w:szCs w:val="28"/>
        </w:rPr>
        <w:t>∶</w:t>
      </w:r>
      <w:r>
        <w:rPr>
          <w:rFonts w:ascii="FangSong" w:eastAsia="FangSong" w:hAnsi="FangSong" w:cs="FangSong"/>
          <w:spacing w:val="30"/>
          <w:w w:val="101"/>
          <w:sz w:val="28"/>
          <w:szCs w:val="28"/>
        </w:rPr>
        <w:t>海南省气象部门</w:t>
      </w:r>
      <w:r>
        <w:rPr>
          <w:rFonts w:ascii="FangSong" w:eastAsia="FangSong" w:hAnsi="FangSong" w:cs="FangSong"/>
          <w:spacing w:val="38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30"/>
          <w:w w:val="101"/>
          <w:sz w:val="28"/>
          <w:szCs w:val="28"/>
        </w:rPr>
        <w:t>海南省住房和城乡建设部门建设工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19"/>
          <w:sz w:val="28"/>
          <w:szCs w:val="28"/>
        </w:rPr>
        <w:t>程防雷安全监管范围清单</w:t>
      </w:r>
    </w:p>
    <w:p w:rsidR="00637654" w:rsidRDefault="00637654"/>
    <w:p w:rsidR="00637654" w:rsidRDefault="00637654">
      <w:pPr>
        <w:spacing w:line="241" w:lineRule="auto"/>
      </w:pPr>
    </w:p>
    <w:p w:rsidR="00637654" w:rsidRDefault="00637654">
      <w:pPr>
        <w:spacing w:line="241" w:lineRule="auto"/>
      </w:pPr>
    </w:p>
    <w:p w:rsidR="00637654" w:rsidRDefault="00637654">
      <w:pPr>
        <w:spacing w:line="241" w:lineRule="auto"/>
      </w:pPr>
    </w:p>
    <w:p w:rsidR="00637654" w:rsidRDefault="0060586F">
      <w:pPr>
        <w:spacing w:before="91" w:line="222" w:lineRule="auto"/>
        <w:ind w:firstLine="4430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16"/>
          <w:sz w:val="28"/>
          <w:szCs w:val="28"/>
        </w:rPr>
        <w:t>海南省住房和城乡建设厅</w:t>
      </w:r>
    </w:p>
    <w:p w:rsidR="00637654" w:rsidRDefault="00637654">
      <w:pPr>
        <w:spacing w:line="346" w:lineRule="auto"/>
      </w:pPr>
    </w:p>
    <w:p w:rsidR="00637654" w:rsidRDefault="00637654">
      <w:pPr>
        <w:spacing w:line="346" w:lineRule="auto"/>
      </w:pPr>
    </w:p>
    <w:p w:rsidR="00637654" w:rsidRDefault="0060586F">
      <w:pPr>
        <w:spacing w:before="88" w:line="219" w:lineRule="auto"/>
        <w:ind w:firstLine="5370"/>
        <w:rPr>
          <w:rFonts w:ascii="宋体" w:eastAsia="宋体" w:hAnsi="宋体" w:cs="宋体"/>
          <w:sz w:val="27"/>
          <w:szCs w:val="27"/>
        </w:rPr>
      </w:pPr>
      <w:r>
        <w:rPr>
          <w:rFonts w:ascii="宋体" w:eastAsia="宋体" w:hAnsi="宋体" w:cs="宋体"/>
          <w:spacing w:val="-4"/>
          <w:sz w:val="27"/>
          <w:szCs w:val="27"/>
        </w:rPr>
        <w:t>2020</w:t>
      </w:r>
      <w:r>
        <w:rPr>
          <w:rFonts w:ascii="宋体" w:eastAsia="宋体" w:hAnsi="宋体" w:cs="宋体"/>
          <w:spacing w:val="37"/>
          <w:sz w:val="27"/>
          <w:szCs w:val="27"/>
        </w:rPr>
        <w:t xml:space="preserve">  </w:t>
      </w:r>
      <w:r>
        <w:rPr>
          <w:rFonts w:ascii="宋体" w:eastAsia="宋体" w:hAnsi="宋体" w:cs="宋体"/>
          <w:spacing w:val="-4"/>
          <w:sz w:val="27"/>
          <w:szCs w:val="27"/>
        </w:rPr>
        <w:t>年</w:t>
      </w:r>
      <w:r>
        <w:rPr>
          <w:rFonts w:ascii="宋体" w:eastAsia="宋体" w:hAnsi="宋体" w:cs="宋体"/>
          <w:spacing w:val="24"/>
          <w:sz w:val="27"/>
          <w:szCs w:val="27"/>
        </w:rPr>
        <w:t xml:space="preserve">  </w:t>
      </w:r>
      <w:r>
        <w:rPr>
          <w:rFonts w:ascii="宋体" w:eastAsia="宋体" w:hAnsi="宋体" w:cs="宋体"/>
          <w:spacing w:val="-4"/>
          <w:sz w:val="27"/>
          <w:szCs w:val="27"/>
        </w:rPr>
        <w:t>5</w:t>
      </w:r>
      <w:r>
        <w:rPr>
          <w:rFonts w:ascii="宋体" w:eastAsia="宋体" w:hAnsi="宋体" w:cs="宋体"/>
          <w:spacing w:val="-61"/>
          <w:sz w:val="27"/>
          <w:szCs w:val="27"/>
        </w:rPr>
        <w:t xml:space="preserve"> </w:t>
      </w:r>
      <w:r>
        <w:rPr>
          <w:rFonts w:ascii="宋体" w:eastAsia="宋体" w:hAnsi="宋体" w:cs="宋体"/>
          <w:spacing w:val="-4"/>
          <w:sz w:val="27"/>
          <w:szCs w:val="27"/>
        </w:rPr>
        <w:t>月</w:t>
      </w:r>
      <w:r>
        <w:rPr>
          <w:rFonts w:ascii="宋体" w:eastAsia="宋体" w:hAnsi="宋体" w:cs="宋体"/>
          <w:spacing w:val="-4"/>
          <w:sz w:val="27"/>
          <w:szCs w:val="27"/>
        </w:rPr>
        <w:t>9</w:t>
      </w:r>
      <w:r>
        <w:rPr>
          <w:rFonts w:ascii="宋体" w:eastAsia="宋体" w:hAnsi="宋体" w:cs="宋体"/>
          <w:spacing w:val="-60"/>
          <w:sz w:val="27"/>
          <w:szCs w:val="27"/>
        </w:rPr>
        <w:t xml:space="preserve"> </w:t>
      </w:r>
      <w:r>
        <w:rPr>
          <w:rFonts w:ascii="宋体" w:eastAsia="宋体" w:hAnsi="宋体" w:cs="宋体"/>
          <w:spacing w:val="-4"/>
          <w:sz w:val="27"/>
          <w:szCs w:val="27"/>
        </w:rPr>
        <w:t>日</w:t>
      </w:r>
    </w:p>
    <w:p w:rsidR="00637654" w:rsidRDefault="0060586F">
      <w:pPr>
        <w:spacing w:before="246" w:line="222" w:lineRule="auto"/>
        <w:ind w:firstLine="650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23"/>
          <w:sz w:val="28"/>
          <w:szCs w:val="28"/>
        </w:rPr>
        <w:t>（此件主动公开）</w:t>
      </w: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</w:p>
    <w:p w:rsidR="00637654" w:rsidRDefault="00637654">
      <w:pPr>
        <w:spacing w:line="245" w:lineRule="auto"/>
      </w:pPr>
      <w:bookmarkStart w:id="0" w:name="_GoBack"/>
      <w:bookmarkEnd w:id="0"/>
    </w:p>
    <w:p w:rsidR="00637654" w:rsidRDefault="00637654">
      <w:pPr>
        <w:spacing w:line="245" w:lineRule="auto"/>
      </w:pPr>
    </w:p>
    <w:p w:rsidR="00637654" w:rsidRDefault="00637654">
      <w:pPr>
        <w:spacing w:line="246" w:lineRule="auto"/>
      </w:pPr>
    </w:p>
    <w:p w:rsidR="00637654" w:rsidRDefault="00637654">
      <w:pPr>
        <w:spacing w:line="246" w:lineRule="auto"/>
      </w:pPr>
    </w:p>
    <w:p w:rsidR="00637654" w:rsidRDefault="00637654">
      <w:pPr>
        <w:spacing w:line="246" w:lineRule="auto"/>
      </w:pPr>
    </w:p>
    <w:p w:rsidR="00637654" w:rsidRDefault="00637654">
      <w:pPr>
        <w:spacing w:line="246" w:lineRule="auto"/>
      </w:pPr>
    </w:p>
    <w:p w:rsidR="00637654" w:rsidRDefault="0060586F">
      <w:pPr>
        <w:spacing w:before="1" w:line="40" w:lineRule="exact"/>
        <w:textAlignment w:val="center"/>
      </w:pPr>
      <w:r>
        <w:drawing>
          <wp:inline distT="0" distB="0" distL="0" distR="0">
            <wp:extent cx="5651473" cy="25373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1473" cy="2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654" w:rsidRDefault="0060586F">
      <w:pPr>
        <w:spacing w:before="108" w:line="230" w:lineRule="auto"/>
        <w:ind w:firstLine="189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-5"/>
          <w:sz w:val="28"/>
          <w:szCs w:val="28"/>
        </w:rPr>
        <w:t>海南省气象局办公室</w:t>
      </w:r>
      <w:r>
        <w:rPr>
          <w:rFonts w:ascii="FangSong" w:eastAsia="FangSong" w:hAnsi="FangSong" w:cs="FangSong"/>
          <w:spacing w:val="1"/>
          <w:sz w:val="28"/>
          <w:szCs w:val="28"/>
        </w:rPr>
        <w:t xml:space="preserve">                       </w:t>
      </w:r>
      <w:r>
        <w:rPr>
          <w:rFonts w:ascii="FangSong" w:eastAsia="FangSong" w:hAnsi="FangSong" w:cs="FangSong"/>
          <w:spacing w:val="-5"/>
          <w:position w:val="1"/>
          <w:sz w:val="28"/>
          <w:szCs w:val="28"/>
        </w:rPr>
        <w:t>2020</w:t>
      </w:r>
      <w:r>
        <w:rPr>
          <w:rFonts w:ascii="FangSong" w:eastAsia="FangSong" w:hAnsi="FangSong" w:cs="FangSong"/>
          <w:spacing w:val="63"/>
          <w:position w:val="1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5"/>
          <w:position w:val="1"/>
          <w:sz w:val="28"/>
          <w:szCs w:val="28"/>
        </w:rPr>
        <w:t>年</w:t>
      </w:r>
      <w:r>
        <w:rPr>
          <w:rFonts w:ascii="FangSong" w:eastAsia="FangSong" w:hAnsi="FangSong" w:cs="FangSong"/>
          <w:spacing w:val="96"/>
          <w:position w:val="1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5"/>
          <w:position w:val="1"/>
          <w:sz w:val="28"/>
          <w:szCs w:val="28"/>
        </w:rPr>
        <w:t>5</w:t>
      </w:r>
      <w:r>
        <w:rPr>
          <w:rFonts w:ascii="FangSong" w:eastAsia="FangSong" w:hAnsi="FangSong" w:cs="FangSong"/>
          <w:spacing w:val="-5"/>
          <w:position w:val="1"/>
          <w:sz w:val="28"/>
          <w:szCs w:val="28"/>
        </w:rPr>
        <w:t>月</w:t>
      </w:r>
      <w:r>
        <w:rPr>
          <w:rFonts w:ascii="FangSong" w:eastAsia="FangSong" w:hAnsi="FangSong" w:cs="FangSong"/>
          <w:spacing w:val="-5"/>
          <w:position w:val="1"/>
          <w:sz w:val="28"/>
          <w:szCs w:val="28"/>
        </w:rPr>
        <w:t>9</w:t>
      </w:r>
      <w:r>
        <w:rPr>
          <w:rFonts w:ascii="FangSong" w:eastAsia="FangSong" w:hAnsi="FangSong" w:cs="FangSong"/>
          <w:spacing w:val="-5"/>
          <w:position w:val="1"/>
          <w:sz w:val="28"/>
          <w:szCs w:val="28"/>
        </w:rPr>
        <w:t>日印发</w:t>
      </w:r>
    </w:p>
    <w:p w:rsidR="00637654" w:rsidRDefault="0060586F">
      <w:pPr>
        <w:spacing w:before="53" w:line="40" w:lineRule="exact"/>
        <w:textAlignment w:val="center"/>
      </w:pPr>
      <w:r>
        <w:drawing>
          <wp:inline distT="0" distB="0" distL="0" distR="0">
            <wp:extent cx="5651473" cy="25373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1473" cy="2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654" w:rsidRDefault="0060586F">
      <w:pPr>
        <w:spacing w:before="143" w:line="131" w:lineRule="exact"/>
        <w:ind w:firstLine="8240"/>
        <w:rPr>
          <w:sz w:val="18"/>
          <w:szCs w:val="18"/>
        </w:rPr>
      </w:pPr>
      <w:r>
        <w:rPr>
          <w:rFonts w:eastAsia="Arial"/>
          <w:spacing w:val="-3"/>
          <w:position w:val="-2"/>
          <w:sz w:val="18"/>
          <w:szCs w:val="18"/>
        </w:rPr>
        <w:t>—</w:t>
      </w:r>
      <w:r>
        <w:rPr>
          <w:rFonts w:eastAsia="Arial"/>
          <w:spacing w:val="24"/>
          <w:position w:val="-2"/>
          <w:sz w:val="18"/>
          <w:szCs w:val="18"/>
        </w:rPr>
        <w:t xml:space="preserve"> </w:t>
      </w:r>
      <w:r>
        <w:rPr>
          <w:rFonts w:eastAsia="Arial"/>
          <w:spacing w:val="-3"/>
          <w:position w:val="-2"/>
          <w:sz w:val="18"/>
          <w:szCs w:val="18"/>
        </w:rPr>
        <w:t>3</w:t>
      </w:r>
      <w:r>
        <w:rPr>
          <w:rFonts w:eastAsia="Arial"/>
          <w:spacing w:val="14"/>
          <w:w w:val="101"/>
          <w:position w:val="-2"/>
          <w:sz w:val="18"/>
          <w:szCs w:val="18"/>
        </w:rPr>
        <w:t xml:space="preserve"> </w:t>
      </w:r>
      <w:r>
        <w:rPr>
          <w:rFonts w:eastAsia="Arial"/>
          <w:spacing w:val="-3"/>
          <w:position w:val="-2"/>
          <w:sz w:val="18"/>
          <w:szCs w:val="18"/>
        </w:rPr>
        <w:t>—</w:t>
      </w:r>
    </w:p>
    <w:p w:rsidR="00637654" w:rsidRDefault="00637654">
      <w:pPr>
        <w:sectPr w:rsidR="00637654">
          <w:footerReference w:type="default" r:id="rId11"/>
          <w:pgSz w:w="12230" w:h="15840"/>
          <w:pgMar w:top="1346" w:right="1720" w:bottom="265" w:left="1609" w:header="0" w:footer="0" w:gutter="0"/>
          <w:cols w:space="720"/>
        </w:sectPr>
      </w:pPr>
    </w:p>
    <w:p w:rsidR="00637654" w:rsidRDefault="0060586F">
      <w:pPr>
        <w:spacing w:before="273" w:line="219" w:lineRule="auto"/>
        <w:ind w:firstLine="47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30"/>
          <w:w w:val="95"/>
          <w:sz w:val="32"/>
          <w:szCs w:val="32"/>
        </w:rPr>
        <w:lastRenderedPageBreak/>
        <w:t>附件</w:t>
      </w:r>
    </w:p>
    <w:p w:rsidR="00637654" w:rsidRDefault="0060586F">
      <w:pPr>
        <w:spacing w:before="185" w:line="350" w:lineRule="auto"/>
        <w:ind w:left="2414" w:right="1038" w:hanging="11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33"/>
          <w:w w:val="101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海南省气象部门、海南省住房和城乡建设部门</w:t>
      </w:r>
      <w:r>
        <w:rPr>
          <w:rFonts w:ascii="宋体" w:eastAsia="宋体" w:hAnsi="宋体" w:cs="宋体"/>
          <w:spacing w:val="3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25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建设工程防雷安全监管范围清单</w:t>
      </w:r>
    </w:p>
    <w:p w:rsidR="00637654" w:rsidRDefault="00637654"/>
    <w:p w:rsidR="00637654" w:rsidRDefault="00637654">
      <w:pPr>
        <w:spacing w:line="67" w:lineRule="exact"/>
      </w:pPr>
    </w:p>
    <w:tbl>
      <w:tblPr>
        <w:tblStyle w:val="TableNormal"/>
        <w:tblW w:w="9129" w:type="dxa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37"/>
        <w:gridCol w:w="6615"/>
      </w:tblGrid>
      <w:tr w:rsidR="00637654">
        <w:trPr>
          <w:trHeight w:val="675"/>
        </w:trPr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:rsidR="00637654" w:rsidRDefault="0060586F">
            <w:pPr>
              <w:spacing w:before="235" w:line="219" w:lineRule="auto"/>
              <w:ind w:firstLine="1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监管部门</w:t>
            </w:r>
          </w:p>
        </w:tc>
        <w:tc>
          <w:tcPr>
            <w:tcW w:w="1237" w:type="dxa"/>
            <w:tcBorders>
              <w:top w:val="single" w:sz="2" w:space="0" w:color="000000"/>
              <w:bottom w:val="single" w:sz="2" w:space="0" w:color="000000"/>
            </w:tcBorders>
          </w:tcPr>
          <w:p w:rsidR="00637654" w:rsidRDefault="0060586F">
            <w:pPr>
              <w:spacing w:before="235" w:line="220" w:lineRule="auto"/>
              <w:ind w:firstLine="1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项目性质</w:t>
            </w:r>
          </w:p>
        </w:tc>
        <w:tc>
          <w:tcPr>
            <w:tcW w:w="6615" w:type="dxa"/>
            <w:tcBorders>
              <w:top w:val="single" w:sz="2" w:space="0" w:color="000000"/>
              <w:bottom w:val="single" w:sz="2" w:space="0" w:color="000000"/>
            </w:tcBorders>
          </w:tcPr>
          <w:p w:rsidR="00637654" w:rsidRDefault="0060586F">
            <w:pPr>
              <w:spacing w:before="235" w:line="219" w:lineRule="auto"/>
              <w:ind w:firstLine="28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8"/>
              </w:rPr>
              <w:t>项</w:t>
            </w:r>
            <w:r>
              <w:rPr>
                <w:rFonts w:ascii="宋体" w:eastAsia="宋体" w:hAnsi="宋体" w:cs="宋体"/>
                <w:spacing w:val="-5"/>
              </w:rPr>
              <w:t xml:space="preserve"> </w:t>
            </w:r>
            <w:r>
              <w:rPr>
                <w:rFonts w:ascii="宋体" w:eastAsia="宋体" w:hAnsi="宋体" w:cs="宋体"/>
                <w:spacing w:val="-18"/>
              </w:rPr>
              <w:t>目</w:t>
            </w:r>
            <w:r>
              <w:rPr>
                <w:rFonts w:ascii="宋体" w:eastAsia="宋体" w:hAnsi="宋体" w:cs="宋体"/>
                <w:spacing w:val="-48"/>
              </w:rPr>
              <w:t xml:space="preserve"> </w:t>
            </w:r>
            <w:r>
              <w:rPr>
                <w:rFonts w:ascii="宋体" w:eastAsia="宋体" w:hAnsi="宋体" w:cs="宋体"/>
                <w:spacing w:val="-18"/>
              </w:rPr>
              <w:t>类</w:t>
            </w:r>
            <w:r>
              <w:rPr>
                <w:rFonts w:ascii="宋体" w:eastAsia="宋体" w:hAnsi="宋体" w:cs="宋体"/>
                <w:spacing w:val="-42"/>
              </w:rPr>
              <w:t xml:space="preserve"> </w:t>
            </w:r>
            <w:r>
              <w:rPr>
                <w:rFonts w:ascii="宋体" w:eastAsia="宋体" w:hAnsi="宋体" w:cs="宋体"/>
                <w:spacing w:val="-18"/>
              </w:rPr>
              <w:t>型</w:t>
            </w:r>
          </w:p>
        </w:tc>
      </w:tr>
      <w:tr w:rsidR="00637654">
        <w:trPr>
          <w:trHeight w:val="2993"/>
        </w:trPr>
        <w:tc>
          <w:tcPr>
            <w:tcW w:w="1277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637654" w:rsidRDefault="00637654">
            <w:pPr>
              <w:spacing w:line="252" w:lineRule="auto"/>
            </w:pPr>
          </w:p>
          <w:p w:rsidR="00637654" w:rsidRDefault="00637654">
            <w:pPr>
              <w:spacing w:line="252" w:lineRule="auto"/>
            </w:pPr>
          </w:p>
          <w:p w:rsidR="00637654" w:rsidRDefault="00637654">
            <w:pPr>
              <w:spacing w:line="252" w:lineRule="auto"/>
            </w:pPr>
          </w:p>
          <w:p w:rsidR="00637654" w:rsidRDefault="00637654">
            <w:pPr>
              <w:spacing w:line="252" w:lineRule="auto"/>
            </w:pPr>
          </w:p>
          <w:p w:rsidR="00637654" w:rsidRDefault="00637654">
            <w:pPr>
              <w:spacing w:line="252" w:lineRule="auto"/>
            </w:pPr>
          </w:p>
          <w:p w:rsidR="00637654" w:rsidRDefault="00637654">
            <w:pPr>
              <w:spacing w:line="252" w:lineRule="auto"/>
            </w:pPr>
          </w:p>
          <w:p w:rsidR="00637654" w:rsidRDefault="00637654">
            <w:pPr>
              <w:spacing w:line="252" w:lineRule="auto"/>
            </w:pPr>
          </w:p>
          <w:p w:rsidR="00637654" w:rsidRDefault="00637654">
            <w:pPr>
              <w:spacing w:line="252" w:lineRule="auto"/>
            </w:pPr>
          </w:p>
          <w:p w:rsidR="00637654" w:rsidRDefault="00637654">
            <w:pPr>
              <w:spacing w:line="252" w:lineRule="auto"/>
            </w:pPr>
          </w:p>
          <w:p w:rsidR="00637654" w:rsidRDefault="00637654">
            <w:pPr>
              <w:spacing w:line="253" w:lineRule="auto"/>
            </w:pPr>
          </w:p>
          <w:p w:rsidR="00637654" w:rsidRDefault="0060586F">
            <w:pPr>
              <w:spacing w:before="69" w:line="219" w:lineRule="auto"/>
              <w:ind w:firstLine="1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气象部门</w:t>
            </w:r>
          </w:p>
        </w:tc>
        <w:tc>
          <w:tcPr>
            <w:tcW w:w="1237" w:type="dxa"/>
            <w:tcBorders>
              <w:top w:val="single" w:sz="2" w:space="0" w:color="000000"/>
              <w:bottom w:val="single" w:sz="2" w:space="0" w:color="000000"/>
            </w:tcBorders>
          </w:tcPr>
          <w:p w:rsidR="00637654" w:rsidRDefault="00637654">
            <w:pPr>
              <w:spacing w:line="292" w:lineRule="auto"/>
            </w:pPr>
          </w:p>
          <w:p w:rsidR="00637654" w:rsidRDefault="00637654">
            <w:pPr>
              <w:spacing w:line="292" w:lineRule="auto"/>
            </w:pPr>
          </w:p>
          <w:p w:rsidR="00637654" w:rsidRDefault="00637654">
            <w:pPr>
              <w:spacing w:line="292" w:lineRule="auto"/>
            </w:pPr>
          </w:p>
          <w:p w:rsidR="00637654" w:rsidRDefault="00637654">
            <w:pPr>
              <w:spacing w:line="292" w:lineRule="auto"/>
            </w:pPr>
          </w:p>
          <w:p w:rsidR="00637654" w:rsidRDefault="0060586F">
            <w:pPr>
              <w:spacing w:before="69" w:line="278" w:lineRule="auto"/>
              <w:ind w:left="392" w:right="185" w:hanging="2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易燃易爆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场所</w:t>
            </w:r>
          </w:p>
        </w:tc>
        <w:tc>
          <w:tcPr>
            <w:tcW w:w="6615" w:type="dxa"/>
            <w:tcBorders>
              <w:top w:val="single" w:sz="2" w:space="0" w:color="000000"/>
              <w:bottom w:val="single" w:sz="2" w:space="0" w:color="000000"/>
            </w:tcBorders>
          </w:tcPr>
          <w:p w:rsidR="00637654" w:rsidRDefault="0060586F">
            <w:pPr>
              <w:spacing w:before="143" w:line="289" w:lineRule="auto"/>
              <w:ind w:left="105" w:firstLine="4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油库、气库、弹药库、加油站、加气站、油气码头，烟花爆竹生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产车间（厂房）与库房，炸药、火药、雷管、导火索等民爆物品生产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车间（厂房）与库房，液化石油气、天然气生产车间（厂房）与存储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罐区（储气瓶库</w:t>
            </w: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），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爆炸、易燃等危险化学品生产车间（厂房）与库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房，石油化工建设项目、合成材料及加工工程、石油产品深加工项程、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化纤工程，及其以上建设工程和场所，其附属的房屋建筑工程和市政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pacing w:val="20"/>
                <w:sz w:val="20"/>
                <w:szCs w:val="20"/>
              </w:rPr>
              <w:t>基础设施工程。</w:t>
            </w:r>
          </w:p>
          <w:p w:rsidR="00637654" w:rsidRDefault="0060586F">
            <w:pPr>
              <w:spacing w:before="2" w:line="284" w:lineRule="auto"/>
              <w:ind w:left="105" w:right="66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房屋建筑工程和市政基础设施工程其附属的油站（库房）、石油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</w:rPr>
              <w:t>液化气站（库房）、氧气、氢气库房等燃易爆建设工程。</w:t>
            </w:r>
          </w:p>
        </w:tc>
      </w:tr>
      <w:tr w:rsidR="00637654">
        <w:trPr>
          <w:trHeight w:val="944"/>
        </w:trPr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637654" w:rsidRDefault="00637654"/>
        </w:tc>
        <w:tc>
          <w:tcPr>
            <w:tcW w:w="1237" w:type="dxa"/>
            <w:tcBorders>
              <w:top w:val="single" w:sz="2" w:space="0" w:color="000000"/>
              <w:bottom w:val="single" w:sz="2" w:space="0" w:color="000000"/>
            </w:tcBorders>
          </w:tcPr>
          <w:p w:rsidR="00637654" w:rsidRDefault="00637654">
            <w:pPr>
              <w:spacing w:line="297" w:lineRule="auto"/>
            </w:pPr>
          </w:p>
          <w:p w:rsidR="00637654" w:rsidRDefault="0060586F">
            <w:pPr>
              <w:spacing w:before="68" w:line="219" w:lineRule="auto"/>
              <w:ind w:firstLine="1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旅游景点</w:t>
            </w:r>
          </w:p>
        </w:tc>
        <w:tc>
          <w:tcPr>
            <w:tcW w:w="6615" w:type="dxa"/>
            <w:tcBorders>
              <w:top w:val="single" w:sz="2" w:space="0" w:color="000000"/>
              <w:bottom w:val="single" w:sz="2" w:space="0" w:color="000000"/>
            </w:tcBorders>
          </w:tcPr>
          <w:p w:rsidR="00637654" w:rsidRDefault="0060586F">
            <w:pPr>
              <w:spacing w:before="76" w:line="267" w:lineRule="auto"/>
              <w:ind w:left="105" w:firstLine="2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雷电风险在一、二级地区，专门提供游览服务，有独立管理区，有明</w:t>
            </w:r>
            <w:r>
              <w:rPr>
                <w:rFonts w:ascii="宋体" w:eastAsia="宋体" w:hAnsi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确的管理界限的场所或者区域，有统一的经营管理机构，并收取门票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的旅游景点内的建（构）筑物及各类设施。</w:t>
            </w:r>
          </w:p>
        </w:tc>
      </w:tr>
      <w:tr w:rsidR="00637654">
        <w:trPr>
          <w:trHeight w:val="715"/>
        </w:trPr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637654" w:rsidRDefault="00637654"/>
        </w:tc>
        <w:tc>
          <w:tcPr>
            <w:tcW w:w="1237" w:type="dxa"/>
            <w:tcBorders>
              <w:top w:val="single" w:sz="2" w:space="0" w:color="000000"/>
              <w:bottom w:val="single" w:sz="2" w:space="0" w:color="000000"/>
            </w:tcBorders>
          </w:tcPr>
          <w:p w:rsidR="00637654" w:rsidRDefault="0060586F">
            <w:pPr>
              <w:spacing w:before="248" w:line="219" w:lineRule="auto"/>
              <w:ind w:firstLine="39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矿区</w:t>
            </w:r>
          </w:p>
        </w:tc>
        <w:tc>
          <w:tcPr>
            <w:tcW w:w="6615" w:type="dxa"/>
            <w:tcBorders>
              <w:top w:val="single" w:sz="2" w:space="0" w:color="000000"/>
              <w:bottom w:val="single" w:sz="2" w:space="0" w:color="000000"/>
            </w:tcBorders>
          </w:tcPr>
          <w:p w:rsidR="00637654" w:rsidRDefault="0060586F">
            <w:pPr>
              <w:spacing w:before="118" w:line="246" w:lineRule="auto"/>
              <w:ind w:left="105" w:right="132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雷电风险在一、二级地区的金矿、铁矿、钛矿、钼矿等矿区内的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</w:rPr>
              <w:t>建（构）筑物、设施。</w:t>
            </w:r>
          </w:p>
        </w:tc>
      </w:tr>
      <w:tr w:rsidR="00637654">
        <w:trPr>
          <w:trHeight w:val="764"/>
        </w:trPr>
        <w:tc>
          <w:tcPr>
            <w:tcW w:w="1277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637654" w:rsidRDefault="00637654"/>
        </w:tc>
        <w:tc>
          <w:tcPr>
            <w:tcW w:w="1237" w:type="dxa"/>
            <w:tcBorders>
              <w:top w:val="single" w:sz="2" w:space="0" w:color="000000"/>
              <w:bottom w:val="single" w:sz="2" w:space="0" w:color="000000"/>
            </w:tcBorders>
          </w:tcPr>
          <w:p w:rsidR="00637654" w:rsidRDefault="0060586F">
            <w:pPr>
              <w:spacing w:before="278" w:line="219" w:lineRule="auto"/>
              <w:ind w:firstLine="1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普通建筑</w:t>
            </w:r>
          </w:p>
        </w:tc>
        <w:tc>
          <w:tcPr>
            <w:tcW w:w="6615" w:type="dxa"/>
            <w:tcBorders>
              <w:top w:val="single" w:sz="2" w:space="0" w:color="000000"/>
              <w:bottom w:val="single" w:sz="2" w:space="0" w:color="000000"/>
            </w:tcBorders>
          </w:tcPr>
          <w:p w:rsidR="00637654" w:rsidRDefault="0060586F">
            <w:pPr>
              <w:spacing w:before="108" w:line="276" w:lineRule="auto"/>
              <w:ind w:left="105" w:firstLine="4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雷电风险在一、二级地区，已投入使用的建（构）筑物、设施等需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要单独安装防雷装置的既有建（构）筑物。</w:t>
            </w:r>
          </w:p>
        </w:tc>
      </w:tr>
      <w:tr w:rsidR="00637654">
        <w:trPr>
          <w:trHeight w:val="1684"/>
        </w:trPr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:rsidR="00637654" w:rsidRDefault="00637654">
            <w:pPr>
              <w:spacing w:line="339" w:lineRule="auto"/>
            </w:pPr>
          </w:p>
          <w:p w:rsidR="00637654" w:rsidRDefault="0060586F">
            <w:pPr>
              <w:spacing w:before="68" w:line="220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住房和</w:t>
            </w:r>
          </w:p>
          <w:p w:rsidR="00637654" w:rsidRDefault="0060586F">
            <w:pPr>
              <w:spacing w:before="70" w:line="219" w:lineRule="auto"/>
              <w:ind w:firstLine="1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城乡建设</w:t>
            </w:r>
          </w:p>
          <w:p w:rsidR="00637654" w:rsidRDefault="0060586F">
            <w:pPr>
              <w:spacing w:before="70" w:line="219" w:lineRule="auto"/>
              <w:ind w:firstLine="4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</w:rPr>
              <w:t>部门</w:t>
            </w:r>
          </w:p>
        </w:tc>
        <w:tc>
          <w:tcPr>
            <w:tcW w:w="1237" w:type="dxa"/>
            <w:tcBorders>
              <w:top w:val="single" w:sz="2" w:space="0" w:color="000000"/>
              <w:bottom w:val="single" w:sz="2" w:space="0" w:color="000000"/>
            </w:tcBorders>
          </w:tcPr>
          <w:p w:rsidR="00637654" w:rsidRDefault="0060586F">
            <w:pPr>
              <w:spacing w:before="289" w:line="220" w:lineRule="auto"/>
              <w:ind w:firstLine="1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房屋建筑</w:t>
            </w:r>
          </w:p>
          <w:p w:rsidR="00637654" w:rsidRDefault="0060586F">
            <w:pPr>
              <w:spacing w:before="50" w:line="219" w:lineRule="auto"/>
              <w:ind w:firstLine="1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工程和市</w:t>
            </w:r>
          </w:p>
          <w:p w:rsidR="00637654" w:rsidRDefault="0060586F">
            <w:pPr>
              <w:spacing w:before="79" w:line="278" w:lineRule="auto"/>
              <w:ind w:left="93" w:right="201" w:firstLine="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政基础设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施工程</w:t>
            </w:r>
          </w:p>
        </w:tc>
        <w:tc>
          <w:tcPr>
            <w:tcW w:w="6615" w:type="dxa"/>
            <w:tcBorders>
              <w:top w:val="single" w:sz="2" w:space="0" w:color="000000"/>
              <w:bottom w:val="single" w:sz="2" w:space="0" w:color="000000"/>
            </w:tcBorders>
          </w:tcPr>
          <w:p w:rsidR="00637654" w:rsidRDefault="00637654">
            <w:pPr>
              <w:spacing w:line="243" w:lineRule="auto"/>
            </w:pPr>
          </w:p>
          <w:p w:rsidR="00637654" w:rsidRDefault="00637654">
            <w:pPr>
              <w:spacing w:line="244" w:lineRule="auto"/>
            </w:pPr>
          </w:p>
          <w:p w:rsidR="00637654" w:rsidRDefault="0060586F">
            <w:pPr>
              <w:spacing w:before="68" w:line="303" w:lineRule="auto"/>
              <w:ind w:left="105" w:right="139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除明确由气象部门监管的项目外，其他房屋建筑工程项目和市政</w:t>
            </w:r>
            <w:r>
              <w:rPr>
                <w:rFonts w:ascii="宋体" w:eastAsia="宋体" w:hAnsi="宋体" w:cs="宋体"/>
                <w:spacing w:val="21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</w:rPr>
              <w:t>基础设施工程项目。</w:t>
            </w:r>
          </w:p>
        </w:tc>
      </w:tr>
    </w:tbl>
    <w:p w:rsidR="00637654" w:rsidRDefault="00637654">
      <w:pPr>
        <w:spacing w:line="316" w:lineRule="auto"/>
      </w:pPr>
    </w:p>
    <w:p w:rsidR="00637654" w:rsidRDefault="0060586F">
      <w:pPr>
        <w:spacing w:before="59" w:line="318" w:lineRule="auto"/>
        <w:ind w:left="409" w:right="760" w:firstLine="43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pacing w:val="13"/>
          <w:sz w:val="18"/>
          <w:szCs w:val="18"/>
        </w:rPr>
        <w:t>注</w:t>
      </w:r>
      <w:r>
        <w:rPr>
          <w:rFonts w:ascii="宋体" w:eastAsia="宋体" w:hAnsi="宋体" w:cs="宋体"/>
          <w:spacing w:val="43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13"/>
          <w:sz w:val="18"/>
          <w:szCs w:val="18"/>
        </w:rPr>
        <w:t>∶1.</w:t>
      </w:r>
      <w:r>
        <w:rPr>
          <w:rFonts w:ascii="宋体" w:eastAsia="宋体" w:hAnsi="宋体" w:cs="宋体"/>
          <w:spacing w:val="13"/>
          <w:sz w:val="18"/>
          <w:szCs w:val="18"/>
        </w:rPr>
        <w:t>《海南省旅游景区管理规定》（</w:t>
      </w:r>
      <w:r>
        <w:rPr>
          <w:rFonts w:ascii="宋体" w:eastAsia="宋体" w:hAnsi="宋体" w:cs="宋体"/>
          <w:spacing w:val="13"/>
          <w:sz w:val="18"/>
          <w:szCs w:val="18"/>
        </w:rPr>
        <w:t>2016</w:t>
      </w:r>
      <w:r>
        <w:rPr>
          <w:rFonts w:ascii="宋体" w:eastAsia="宋体" w:hAnsi="宋体" w:cs="宋体"/>
          <w:spacing w:val="35"/>
          <w:sz w:val="18"/>
          <w:szCs w:val="18"/>
        </w:rPr>
        <w:t xml:space="preserve">  </w:t>
      </w:r>
      <w:r>
        <w:rPr>
          <w:rFonts w:ascii="宋体" w:eastAsia="宋体" w:hAnsi="宋体" w:cs="宋体"/>
          <w:spacing w:val="13"/>
          <w:sz w:val="18"/>
          <w:szCs w:val="18"/>
        </w:rPr>
        <w:t>年</w:t>
      </w:r>
      <w:r>
        <w:rPr>
          <w:rFonts w:ascii="宋体" w:eastAsia="宋体" w:hAnsi="宋体" w:cs="宋体"/>
          <w:spacing w:val="13"/>
          <w:sz w:val="18"/>
          <w:szCs w:val="18"/>
        </w:rPr>
        <w:t>7</w:t>
      </w:r>
      <w:r>
        <w:rPr>
          <w:rFonts w:ascii="宋体" w:eastAsia="宋体" w:hAnsi="宋体" w:cs="宋体"/>
          <w:spacing w:val="13"/>
          <w:sz w:val="18"/>
          <w:szCs w:val="18"/>
        </w:rPr>
        <w:t>月</w:t>
      </w:r>
      <w:r>
        <w:rPr>
          <w:rFonts w:ascii="宋体" w:eastAsia="宋体" w:hAnsi="宋体" w:cs="宋体"/>
          <w:spacing w:val="53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13"/>
          <w:sz w:val="18"/>
          <w:szCs w:val="18"/>
        </w:rPr>
        <w:t>29</w:t>
      </w:r>
      <w:r>
        <w:rPr>
          <w:rFonts w:ascii="宋体" w:eastAsia="宋体" w:hAnsi="宋体" w:cs="宋体"/>
          <w:spacing w:val="80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13"/>
          <w:sz w:val="18"/>
          <w:szCs w:val="18"/>
        </w:rPr>
        <w:t>日海南省第五届人大常委会第二</w:t>
      </w:r>
      <w:r>
        <w:rPr>
          <w:rFonts w:ascii="宋体" w:eastAsia="宋体" w:hAnsi="宋体" w:cs="宋体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18"/>
          <w:w w:val="105"/>
          <w:sz w:val="18"/>
          <w:szCs w:val="18"/>
        </w:rPr>
        <w:t>十二次会议通过）第二条</w:t>
      </w:r>
      <w:r>
        <w:rPr>
          <w:rFonts w:ascii="宋体" w:eastAsia="宋体" w:hAnsi="宋体" w:cs="宋体"/>
          <w:spacing w:val="63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18"/>
          <w:w w:val="105"/>
          <w:sz w:val="18"/>
          <w:szCs w:val="18"/>
        </w:rPr>
        <w:t>旅游景区是指为旅游者提供游览服务、有明确的管理界限的场所</w:t>
      </w:r>
      <w:r>
        <w:rPr>
          <w:rFonts w:ascii="宋体" w:eastAsia="宋体" w:hAnsi="宋体" w:cs="宋体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18"/>
          <w:w w:val="102"/>
          <w:sz w:val="18"/>
          <w:szCs w:val="18"/>
        </w:rPr>
        <w:t>或者区域。</w:t>
      </w:r>
    </w:p>
    <w:p w:rsidR="00637654" w:rsidRDefault="0060586F">
      <w:pPr>
        <w:spacing w:before="1" w:line="333" w:lineRule="auto"/>
        <w:ind w:left="369" w:right="679" w:firstLine="41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pacing w:val="10"/>
          <w:w w:val="109"/>
          <w:sz w:val="18"/>
          <w:szCs w:val="18"/>
        </w:rPr>
        <w:t>2.</w:t>
      </w:r>
      <w:r>
        <w:rPr>
          <w:rFonts w:ascii="宋体" w:eastAsia="宋体" w:hAnsi="宋体" w:cs="宋体"/>
          <w:spacing w:val="10"/>
          <w:w w:val="109"/>
          <w:sz w:val="18"/>
          <w:szCs w:val="18"/>
        </w:rPr>
        <w:t>根据海南雷电区域易损度风险区划，海南雷电风险分为四级，海口地区为一级区，属</w:t>
      </w:r>
      <w:r>
        <w:rPr>
          <w:rFonts w:ascii="宋体" w:eastAsia="宋体" w:hAnsi="宋体" w:cs="宋体"/>
          <w:spacing w:val="9"/>
          <w:sz w:val="18"/>
          <w:szCs w:val="18"/>
        </w:rPr>
        <w:t xml:space="preserve">  </w:t>
      </w:r>
      <w:r>
        <w:rPr>
          <w:rFonts w:ascii="宋体" w:eastAsia="宋体" w:hAnsi="宋体" w:cs="宋体"/>
          <w:spacing w:val="9"/>
          <w:w w:val="109"/>
          <w:sz w:val="18"/>
          <w:szCs w:val="18"/>
        </w:rPr>
        <w:t>于雷电高风险区</w:t>
      </w:r>
      <w:r>
        <w:rPr>
          <w:rFonts w:ascii="宋体" w:eastAsia="宋体" w:hAnsi="宋体" w:cs="宋体"/>
          <w:spacing w:val="9"/>
          <w:w w:val="109"/>
          <w:sz w:val="18"/>
          <w:szCs w:val="18"/>
        </w:rPr>
        <w:t>;</w:t>
      </w:r>
      <w:r>
        <w:rPr>
          <w:rFonts w:ascii="宋体" w:eastAsia="宋体" w:hAnsi="宋体" w:cs="宋体"/>
          <w:spacing w:val="9"/>
          <w:w w:val="109"/>
          <w:sz w:val="18"/>
          <w:szCs w:val="18"/>
        </w:rPr>
        <w:t>文昌、澄迈、临高、定安、屯昌、琼海为二级区，属于次高风险区</w:t>
      </w:r>
      <w:r>
        <w:rPr>
          <w:rFonts w:ascii="宋体" w:eastAsia="宋体" w:hAnsi="宋体" w:cs="宋体"/>
          <w:spacing w:val="9"/>
          <w:w w:val="109"/>
          <w:sz w:val="18"/>
          <w:szCs w:val="18"/>
        </w:rPr>
        <w:t>;</w:t>
      </w:r>
      <w:r>
        <w:rPr>
          <w:rFonts w:ascii="宋体" w:eastAsia="宋体" w:hAnsi="宋体" w:cs="宋体"/>
          <w:spacing w:val="9"/>
          <w:w w:val="109"/>
          <w:sz w:val="18"/>
          <w:szCs w:val="18"/>
        </w:rPr>
        <w:t>儋州、</w:t>
      </w:r>
      <w:r>
        <w:rPr>
          <w:rFonts w:ascii="宋体" w:eastAsia="宋体" w:hAnsi="宋体" w:cs="宋体"/>
          <w:spacing w:val="11"/>
          <w:sz w:val="18"/>
          <w:szCs w:val="18"/>
        </w:rPr>
        <w:t xml:space="preserve">  </w:t>
      </w:r>
      <w:r>
        <w:rPr>
          <w:rFonts w:ascii="宋体" w:eastAsia="宋体" w:hAnsi="宋体" w:cs="宋体"/>
          <w:spacing w:val="9"/>
          <w:w w:val="112"/>
          <w:sz w:val="18"/>
          <w:szCs w:val="18"/>
        </w:rPr>
        <w:t>琼中、白沙、五指山、保亭为三级区，属于中等风险区</w:t>
      </w:r>
      <w:r>
        <w:rPr>
          <w:rFonts w:ascii="宋体" w:eastAsia="宋体" w:hAnsi="宋体" w:cs="宋体"/>
          <w:spacing w:val="9"/>
          <w:w w:val="112"/>
          <w:sz w:val="18"/>
          <w:szCs w:val="18"/>
        </w:rPr>
        <w:t>;</w:t>
      </w:r>
      <w:r>
        <w:rPr>
          <w:rFonts w:ascii="宋体" w:eastAsia="宋体" w:hAnsi="宋体" w:cs="宋体"/>
          <w:spacing w:val="9"/>
          <w:w w:val="112"/>
          <w:sz w:val="18"/>
          <w:szCs w:val="18"/>
        </w:rPr>
        <w:t>昌江、东方、乐东、万宁、陵水、</w:t>
      </w:r>
      <w:r>
        <w:rPr>
          <w:rFonts w:ascii="宋体" w:eastAsia="宋体" w:hAnsi="宋体" w:cs="宋体"/>
          <w:spacing w:val="26"/>
          <w:w w:val="101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19"/>
          <w:w w:val="103"/>
          <w:sz w:val="18"/>
          <w:szCs w:val="18"/>
        </w:rPr>
        <w:t>三亚、三沙等地为四级区，属于低风险区。</w:t>
      </w:r>
    </w:p>
    <w:p w:rsidR="00637654" w:rsidRDefault="00637654">
      <w:pPr>
        <w:sectPr w:rsidR="00637654">
          <w:footerReference w:type="default" r:id="rId12"/>
          <w:pgSz w:w="12270" w:h="15870"/>
          <w:pgMar w:top="1348" w:right="1030" w:bottom="403" w:left="1840" w:header="0" w:footer="279" w:gutter="0"/>
          <w:cols w:space="720"/>
        </w:sectPr>
      </w:pPr>
    </w:p>
    <w:p w:rsidR="00637654" w:rsidRDefault="0060586F">
      <w:pPr>
        <w:spacing w:before="221" w:line="211" w:lineRule="auto"/>
        <w:ind w:firstLine="2865"/>
        <w:rPr>
          <w:rFonts w:ascii="DengXian" w:eastAsia="DengXian" w:hAnsi="DengXian" w:cs="DengXian"/>
          <w:sz w:val="30"/>
          <w:szCs w:val="30"/>
        </w:rPr>
      </w:pPr>
      <w:r>
        <w:rPr>
          <w:rFonts w:ascii="DengXian" w:eastAsia="DengXian" w:hAnsi="DengXian" w:cs="DengXian"/>
          <w:spacing w:val="9"/>
          <w:sz w:val="30"/>
          <w:szCs w:val="30"/>
        </w:rPr>
        <w:lastRenderedPageBreak/>
        <w:t>海南雷电灾害风险区划图</w:t>
      </w:r>
    </w:p>
    <w:p w:rsidR="00637654" w:rsidRDefault="00637654">
      <w:pPr>
        <w:spacing w:line="264" w:lineRule="auto"/>
      </w:pPr>
    </w:p>
    <w:p w:rsidR="00637654" w:rsidRDefault="00637654">
      <w:pPr>
        <w:spacing w:line="264" w:lineRule="auto"/>
      </w:pPr>
    </w:p>
    <w:p w:rsidR="00637654" w:rsidRDefault="000B64BA">
      <w:pPr>
        <w:spacing w:line="265" w:lineRule="auto"/>
      </w:pPr>
      <w:r>
        <w:drawing>
          <wp:inline distT="0" distB="0" distL="0" distR="0" wp14:anchorId="45408798" wp14:editId="122DFFCF">
            <wp:extent cx="5486400" cy="626046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6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654" w:rsidRDefault="00637654">
      <w:pPr>
        <w:spacing w:line="265" w:lineRule="auto"/>
      </w:pPr>
    </w:p>
    <w:p w:rsidR="00637654" w:rsidRDefault="00637654">
      <w:pPr>
        <w:spacing w:line="7920" w:lineRule="exact"/>
        <w:ind w:firstLine="635"/>
        <w:textAlignment w:val="center"/>
      </w:pPr>
    </w:p>
    <w:p w:rsidR="00637654" w:rsidRDefault="00637654">
      <w:pPr>
        <w:spacing w:line="241" w:lineRule="auto"/>
      </w:pPr>
    </w:p>
    <w:p w:rsidR="00637654" w:rsidRDefault="00637654">
      <w:pPr>
        <w:spacing w:line="241" w:lineRule="auto"/>
      </w:pPr>
    </w:p>
    <w:p w:rsidR="00637654" w:rsidRDefault="00637654">
      <w:pPr>
        <w:spacing w:line="241" w:lineRule="auto"/>
      </w:pPr>
    </w:p>
    <w:p w:rsidR="00637654" w:rsidRDefault="00637654">
      <w:pPr>
        <w:spacing w:line="241" w:lineRule="auto"/>
      </w:pPr>
    </w:p>
    <w:p w:rsidR="00637654" w:rsidRDefault="00637654">
      <w:pPr>
        <w:spacing w:line="241" w:lineRule="auto"/>
      </w:pPr>
    </w:p>
    <w:p w:rsidR="00637654" w:rsidRDefault="00637654">
      <w:pPr>
        <w:spacing w:line="241" w:lineRule="auto"/>
      </w:pPr>
    </w:p>
    <w:p w:rsidR="00637654" w:rsidRDefault="00637654">
      <w:pPr>
        <w:spacing w:line="242" w:lineRule="auto"/>
      </w:pPr>
    </w:p>
    <w:p w:rsidR="00637654" w:rsidRDefault="00637654">
      <w:pPr>
        <w:spacing w:line="242" w:lineRule="auto"/>
      </w:pPr>
    </w:p>
    <w:p w:rsidR="00637654" w:rsidRDefault="00637654">
      <w:pPr>
        <w:spacing w:line="242" w:lineRule="auto"/>
      </w:pPr>
    </w:p>
    <w:p w:rsidR="00637654" w:rsidRDefault="00637654">
      <w:pPr>
        <w:spacing w:line="242" w:lineRule="auto"/>
      </w:pPr>
    </w:p>
    <w:p w:rsidR="00637654" w:rsidRDefault="00637654">
      <w:pPr>
        <w:spacing w:line="242" w:lineRule="auto"/>
      </w:pPr>
    </w:p>
    <w:p w:rsidR="00637654" w:rsidRDefault="00637654">
      <w:pPr>
        <w:spacing w:line="242" w:lineRule="auto"/>
      </w:pPr>
    </w:p>
    <w:p w:rsidR="00637654" w:rsidRDefault="00637654">
      <w:pPr>
        <w:spacing w:line="242" w:lineRule="auto"/>
      </w:pPr>
    </w:p>
    <w:p w:rsidR="00637654" w:rsidRDefault="00637654">
      <w:pPr>
        <w:spacing w:line="242" w:lineRule="auto"/>
      </w:pPr>
    </w:p>
    <w:p w:rsidR="00637654" w:rsidRDefault="00637654">
      <w:pPr>
        <w:spacing w:line="242" w:lineRule="auto"/>
      </w:pPr>
    </w:p>
    <w:p w:rsidR="00637654" w:rsidRDefault="00637654">
      <w:pPr>
        <w:spacing w:line="242" w:lineRule="auto"/>
      </w:pPr>
    </w:p>
    <w:p w:rsidR="00637654" w:rsidRDefault="00637654">
      <w:pPr>
        <w:spacing w:line="242" w:lineRule="auto"/>
      </w:pPr>
    </w:p>
    <w:p w:rsidR="00637654" w:rsidRDefault="00637654">
      <w:pPr>
        <w:spacing w:line="242" w:lineRule="auto"/>
      </w:pPr>
    </w:p>
    <w:p w:rsidR="00637654" w:rsidRDefault="0060586F">
      <w:pPr>
        <w:spacing w:before="57" w:line="144" w:lineRule="exact"/>
        <w:ind w:firstLine="285"/>
        <w:rPr>
          <w:sz w:val="20"/>
          <w:szCs w:val="20"/>
        </w:rPr>
      </w:pPr>
      <w:r>
        <w:rPr>
          <w:rFonts w:eastAsia="Arial"/>
          <w:color w:val="2839CC"/>
          <w:spacing w:val="-2"/>
          <w:position w:val="-3"/>
          <w:sz w:val="20"/>
          <w:szCs w:val="20"/>
        </w:rPr>
        <w:t>—</w:t>
      </w:r>
      <w:r>
        <w:rPr>
          <w:rFonts w:eastAsia="Arial"/>
          <w:color w:val="2839CC"/>
          <w:spacing w:val="20"/>
          <w:w w:val="101"/>
          <w:position w:val="-3"/>
          <w:sz w:val="20"/>
          <w:szCs w:val="20"/>
        </w:rPr>
        <w:t xml:space="preserve">  </w:t>
      </w:r>
      <w:r>
        <w:rPr>
          <w:rFonts w:eastAsia="Arial"/>
          <w:color w:val="2839CC"/>
          <w:spacing w:val="-2"/>
          <w:position w:val="-3"/>
          <w:sz w:val="20"/>
          <w:szCs w:val="20"/>
        </w:rPr>
        <w:t>2</w:t>
      </w:r>
      <w:r>
        <w:rPr>
          <w:rFonts w:eastAsia="Arial"/>
          <w:color w:val="2839CC"/>
          <w:spacing w:val="8"/>
          <w:w w:val="101"/>
          <w:position w:val="-3"/>
          <w:sz w:val="20"/>
          <w:szCs w:val="20"/>
        </w:rPr>
        <w:t xml:space="preserve">   </w:t>
      </w:r>
      <w:r>
        <w:rPr>
          <w:rFonts w:eastAsia="Arial"/>
          <w:color w:val="2839CC"/>
          <w:spacing w:val="-2"/>
          <w:position w:val="-3"/>
          <w:sz w:val="20"/>
          <w:szCs w:val="20"/>
        </w:rPr>
        <w:t>—</w:t>
      </w:r>
    </w:p>
    <w:sectPr w:rsidR="00637654">
      <w:footerReference w:type="default" r:id="rId14"/>
      <w:pgSz w:w="12230" w:h="15840"/>
      <w:pgMar w:top="1346" w:right="749" w:bottom="351" w:left="18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586F">
      <w:r>
        <w:separator/>
      </w:r>
    </w:p>
  </w:endnote>
  <w:endnote w:type="continuationSeparator" w:id="0">
    <w:p w:rsidR="00000000" w:rsidRDefault="0060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DengXi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54" w:rsidRDefault="0060586F">
    <w:pPr>
      <w:spacing w:line="143" w:lineRule="exact"/>
      <w:ind w:firstLine="8479"/>
      <w:rPr>
        <w:sz w:val="20"/>
        <w:szCs w:val="20"/>
      </w:rPr>
    </w:pPr>
    <w:r>
      <w:rPr>
        <w:rFonts w:eastAsia="Arial"/>
        <w:color w:val="43D82B"/>
        <w:spacing w:val="-7"/>
        <w:position w:val="-3"/>
        <w:sz w:val="20"/>
        <w:szCs w:val="20"/>
      </w:rPr>
      <w:t>—</w:t>
    </w:r>
    <w:r>
      <w:rPr>
        <w:rFonts w:eastAsia="Arial"/>
        <w:color w:val="43D82B"/>
        <w:spacing w:val="-16"/>
        <w:position w:val="-3"/>
        <w:sz w:val="20"/>
        <w:szCs w:val="20"/>
      </w:rPr>
      <w:t xml:space="preserve"> </w:t>
    </w:r>
    <w:r>
      <w:rPr>
        <w:rFonts w:eastAsia="Arial"/>
        <w:color w:val="43D82B"/>
        <w:spacing w:val="-7"/>
        <w:position w:val="-3"/>
        <w:sz w:val="20"/>
        <w:szCs w:val="20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54" w:rsidRDefault="0060586F">
    <w:pPr>
      <w:spacing w:line="158" w:lineRule="exact"/>
      <w:ind w:firstLine="40"/>
      <w:rPr>
        <w:sz w:val="22"/>
        <w:szCs w:val="22"/>
      </w:rPr>
    </w:pPr>
    <w:r>
      <w:rPr>
        <w:rFonts w:eastAsia="Arial"/>
        <w:position w:val="-3"/>
        <w:sz w:val="22"/>
        <w:szCs w:val="22"/>
      </w:rPr>
      <w:t>—</w:t>
    </w:r>
    <w:r>
      <w:rPr>
        <w:rFonts w:eastAsia="Arial"/>
        <w:w w:val="101"/>
        <w:position w:val="-3"/>
        <w:sz w:val="22"/>
        <w:szCs w:val="22"/>
      </w:rPr>
      <w:t xml:space="preserve">   </w:t>
    </w:r>
    <w:r>
      <w:rPr>
        <w:rFonts w:eastAsia="Arial"/>
        <w:position w:val="-3"/>
        <w:sz w:val="22"/>
        <w:szCs w:val="22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54" w:rsidRDefault="00637654">
    <w:pPr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54" w:rsidRDefault="0060586F">
    <w:pPr>
      <w:spacing w:line="123" w:lineRule="exact"/>
      <w:ind w:firstLine="7789"/>
      <w:rPr>
        <w:rFonts w:ascii="DengXian" w:eastAsia="DengXian" w:hAnsi="DengXian" w:cs="DengXian"/>
        <w:sz w:val="18"/>
        <w:szCs w:val="18"/>
      </w:rPr>
    </w:pPr>
    <w:r>
      <w:rPr>
        <w:rFonts w:ascii="DengXian" w:eastAsia="DengXian" w:hAnsi="DengXian" w:cs="DengXian"/>
        <w:position w:val="-2"/>
        <w:sz w:val="18"/>
        <w:szCs w:val="18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54" w:rsidRDefault="00637654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586F">
      <w:r>
        <w:separator/>
      </w:r>
    </w:p>
  </w:footnote>
  <w:footnote w:type="continuationSeparator" w:id="0">
    <w:p w:rsidR="00000000" w:rsidRDefault="00605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637654"/>
    <w:rsid w:val="000B64BA"/>
    <w:rsid w:val="0060586F"/>
    <w:rsid w:val="0063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BA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0B64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64BA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64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64BA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64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B64BA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BA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0B64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64BA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64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64BA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64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B64BA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</Words>
  <Characters>1623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dawei</dc:creator>
  <cp:lastModifiedBy>海口局文秘</cp:lastModifiedBy>
  <cp:revision>2</cp:revision>
  <dcterms:created xsi:type="dcterms:W3CDTF">2021-12-27T06:47:00Z</dcterms:created>
  <dcterms:modified xsi:type="dcterms:W3CDTF">2021-12-27T06:47:00Z</dcterms:modified>
</cp:coreProperties>
</file>