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仿宋"/>
          <w:b/>
          <w:sz w:val="36"/>
          <w:szCs w:val="36"/>
        </w:rPr>
      </w:pPr>
      <w:r>
        <w:rPr>
          <w:rFonts w:hint="eastAsia" w:ascii="华文中宋" w:hAnsi="华文中宋" w:eastAsia="华文中宋" w:cs="仿宋"/>
          <w:b/>
          <w:sz w:val="36"/>
          <w:szCs w:val="36"/>
        </w:rPr>
        <w:t>相关单位和社会意见采纳情况表</w:t>
      </w:r>
    </w:p>
    <w:tbl>
      <w:tblPr>
        <w:tblStyle w:val="6"/>
        <w:tblpPr w:leftFromText="180" w:rightFromText="180" w:vertAnchor="text" w:horzAnchor="page" w:tblpXSpec="center" w:tblpY="351"/>
        <w:tblOverlap w:val="never"/>
        <w:tblW w:w="13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8647"/>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vAlign w:val="center"/>
          </w:tcPr>
          <w:p>
            <w:pPr>
              <w:spacing w:line="560" w:lineRule="exact"/>
              <w:jc w:val="center"/>
              <w:rPr>
                <w:rFonts w:ascii="黑体" w:eastAsia="黑体"/>
                <w:sz w:val="28"/>
                <w:szCs w:val="28"/>
              </w:rPr>
            </w:pPr>
            <w:r>
              <w:rPr>
                <w:rFonts w:hint="eastAsia" w:ascii="黑体" w:eastAsia="黑体"/>
                <w:sz w:val="28"/>
                <w:szCs w:val="28"/>
              </w:rPr>
              <w:t>序号</w:t>
            </w:r>
          </w:p>
        </w:tc>
        <w:tc>
          <w:tcPr>
            <w:tcW w:w="1134" w:type="dxa"/>
            <w:vAlign w:val="center"/>
          </w:tcPr>
          <w:p>
            <w:pPr>
              <w:spacing w:line="560" w:lineRule="exact"/>
              <w:jc w:val="center"/>
              <w:rPr>
                <w:rFonts w:ascii="黑体" w:eastAsia="黑体"/>
                <w:sz w:val="28"/>
                <w:szCs w:val="28"/>
              </w:rPr>
            </w:pPr>
            <w:r>
              <w:rPr>
                <w:rFonts w:hint="eastAsia" w:ascii="黑体" w:eastAsia="黑体"/>
                <w:sz w:val="28"/>
                <w:szCs w:val="28"/>
              </w:rPr>
              <w:t>单位</w:t>
            </w:r>
          </w:p>
        </w:tc>
        <w:tc>
          <w:tcPr>
            <w:tcW w:w="8647" w:type="dxa"/>
            <w:vAlign w:val="center"/>
          </w:tcPr>
          <w:p>
            <w:pPr>
              <w:spacing w:line="560" w:lineRule="exact"/>
              <w:jc w:val="center"/>
              <w:rPr>
                <w:rFonts w:ascii="黑体" w:eastAsia="黑体"/>
                <w:sz w:val="28"/>
                <w:szCs w:val="28"/>
              </w:rPr>
            </w:pPr>
            <w:r>
              <w:rPr>
                <w:rFonts w:hint="eastAsia" w:ascii="黑体" w:eastAsia="黑体"/>
                <w:sz w:val="28"/>
                <w:szCs w:val="28"/>
              </w:rPr>
              <w:t>反馈意见</w:t>
            </w:r>
          </w:p>
        </w:tc>
        <w:tc>
          <w:tcPr>
            <w:tcW w:w="3153" w:type="dxa"/>
            <w:vAlign w:val="center"/>
          </w:tcPr>
          <w:p>
            <w:pPr>
              <w:spacing w:line="560" w:lineRule="exact"/>
              <w:jc w:val="center"/>
              <w:rPr>
                <w:rFonts w:ascii="黑体" w:eastAsia="黑体"/>
                <w:sz w:val="28"/>
                <w:szCs w:val="28"/>
              </w:rPr>
            </w:pPr>
            <w:r>
              <w:rPr>
                <w:rFonts w:hint="eastAsia" w:ascii="黑体" w:eastAsia="黑体"/>
                <w:sz w:val="28"/>
                <w:szCs w:val="28"/>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p>
        </w:tc>
        <w:tc>
          <w:tcPr>
            <w:tcW w:w="1134" w:type="dxa"/>
            <w:vMerge w:val="restart"/>
            <w:vAlign w:val="center"/>
          </w:tcPr>
          <w:p>
            <w:pPr>
              <w:spacing w:line="560" w:lineRule="exact"/>
              <w:jc w:val="center"/>
              <w:rPr>
                <w:rFonts w:ascii="仿宋_GB2312" w:eastAsia="仿宋_GB2312"/>
                <w:sz w:val="28"/>
                <w:szCs w:val="28"/>
              </w:rPr>
            </w:pPr>
            <w:r>
              <w:rPr>
                <w:rFonts w:hint="eastAsia" w:ascii="仿宋_GB2312" w:eastAsia="仿宋_GB2312"/>
                <w:sz w:val="28"/>
                <w:szCs w:val="28"/>
              </w:rPr>
              <w:t>市交通行政主管部门</w:t>
            </w: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：对于网约车经营申请做出行政许可决定的，应当发放《网络预约出租汽车经营许可证》，并在《网络预约出租汽车经营许可证》中明确经营范围为网络预约出租汽车，经营区域为本市行政区域，经营期限为 4 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建议：目前我市网约车平台许可经营期限为2年，是否应该将经营期限修改为2年，与实际许可情况一致。</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r>
              <w:rPr>
                <w:rFonts w:hint="eastAsia"/>
                <w:sz w:val="28"/>
                <w:szCs w:val="28"/>
              </w:rPr>
              <w:t>与现状实际情况保持一致，按2年经营期限。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：（二）取得本市公安部门核发的车辆行驶证，且初次注册登记取得《机动车行驶证》之日至申请《网络预约出租汽车运输证》之日未满4年，车辆技术性能符合运营安全相关标准要求和本市机动车排放标准。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建议修改为：（二）取得本市公安部门核发的车辆行驶证，且初次注册登记取得《机动车行驶证》之日至申请《网络预约出租汽车运输证》之日未满4年，车辆技术性能符合运营安全相关标准要求。</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r>
              <w:rPr>
                <w:rFonts w:hint="eastAsia"/>
                <w:sz w:val="28"/>
                <w:szCs w:val="28"/>
              </w:rPr>
              <w:t>按意见要求，取消本市机动车排放标准要求。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3</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：注册登记为个人所有的车辆申请《网络预约出租汽车运输证》 的，车辆所有人应当事先取得《出租汽车驾驶员证》，且名下无取得《网络预约出租汽车运输证》的车辆，并承诺由本人驾驶该申请车辆提供网约车服务。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建议将“并承诺由本人驾驶该申请车辆提供网约车服务”调整到第十九条：网约车驾驶员应当遵守下列规定：由本人驾驶车辆所有人为本人并且已取得《网络预约出租汽车运输证》的车辆提供网约车服务。</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4</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：（一）申请人已获得小客车增量指标的或申请人名下小客车已上牌的，应向市交通行政主管部门提出申请。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以上所说申请人是否包含车辆所有者为企业法人的，车辆所有者为企业法人的申请人已获得小客车增量指标的或申请人名下小客车已上牌的，是否适用于本款。</w:t>
            </w:r>
          </w:p>
        </w:tc>
        <w:tc>
          <w:tcPr>
            <w:tcW w:w="3153" w:type="dxa"/>
            <w:vAlign w:val="center"/>
          </w:tcPr>
          <w:p>
            <w:pPr>
              <w:spacing w:line="560" w:lineRule="exact"/>
              <w:jc w:val="left"/>
              <w:rPr>
                <w:rFonts w:ascii="仿宋_GB2312" w:eastAsia="仿宋_GB2312"/>
                <w:szCs w:val="21"/>
              </w:rPr>
            </w:pPr>
            <w:r>
              <w:rPr>
                <w:rFonts w:hint="eastAsia"/>
                <w:b/>
                <w:bCs/>
                <w:sz w:val="28"/>
                <w:szCs w:val="28"/>
              </w:rPr>
              <w:t>解释，</w:t>
            </w:r>
            <w:r>
              <w:rPr>
                <w:rFonts w:hint="eastAsia"/>
                <w:sz w:val="28"/>
                <w:szCs w:val="28"/>
              </w:rPr>
              <w:t>本条特指为自然人，企业法人在本次范围内。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5</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：已申请办理《网络预约出租汽车运输证》车辆未达到 60 万公里及 8 年年限的，有效期满可以申请换发《网络预约出租汽车运输证》。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建议删除。原因：《网络预约出租汽车运输证》有效期为8年，有效期满应退出网约车经营，不可以申请换发《网络预约出租汽车运输证》。</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6</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：（三）市道路运输管理机构组织的出租汽车驾驶员从业资格考试合格证书。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建议修改为：考试合格证明（材料）。</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7</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：从事网约车经营的车辆自注册登记之日起，5 年 内每年检验 1 次；超过 5 年的，每 6 个月检验 1 次并更新《网络 预约出租汽车运输证》。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建议修改为：从事网约车经营的车辆自注册登记之日起，5 年 内每年检验 1 次；超过 5 年的，每 6 个月检验 1 次。</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8</w:t>
            </w:r>
          </w:p>
        </w:tc>
        <w:tc>
          <w:tcPr>
            <w:tcW w:w="1134" w:type="dxa"/>
            <w:vMerge w:val="restart"/>
            <w:vAlign w:val="center"/>
          </w:tcPr>
          <w:p>
            <w:pPr>
              <w:spacing w:line="560" w:lineRule="exact"/>
              <w:jc w:val="center"/>
              <w:rPr>
                <w:rFonts w:ascii="仿宋_GB2312" w:eastAsia="仿宋_GB2312"/>
                <w:sz w:val="28"/>
                <w:szCs w:val="28"/>
              </w:rPr>
            </w:pPr>
            <w:r>
              <w:rPr>
                <w:rFonts w:hint="eastAsia" w:ascii="仿宋_GB2312" w:eastAsia="仿宋_GB2312"/>
                <w:sz w:val="28"/>
                <w:szCs w:val="28"/>
              </w:rPr>
              <w:t>信息中心</w:t>
            </w: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为了做到使用名词的一致性，建议将第八条第二款“市交通行政主管部门网约车监管信息交互平台”改为“本市人民政府监管平台”与第六条第（六）保持一致性用词。</w:t>
            </w:r>
          </w:p>
        </w:tc>
        <w:tc>
          <w:tcPr>
            <w:tcW w:w="3153" w:type="dxa"/>
            <w:vAlign w:val="center"/>
          </w:tcPr>
          <w:p>
            <w:pPr>
              <w:spacing w:line="560" w:lineRule="exact"/>
              <w:jc w:val="left"/>
              <w:rPr>
                <w:rFonts w:ascii="仿宋_GB2312" w:eastAsia="仿宋_GB2312"/>
                <w:szCs w:val="21"/>
              </w:rPr>
            </w:pPr>
            <w:r>
              <w:rPr>
                <w:rFonts w:hint="eastAsia"/>
                <w:b/>
                <w:bCs/>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9</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为了保证对车辆动态数据的实时监管，建议第九条第（四）后面增加“动态数据接入本市人民政府监管平台”。</w:t>
            </w:r>
          </w:p>
        </w:tc>
        <w:tc>
          <w:tcPr>
            <w:tcW w:w="3153" w:type="dxa"/>
            <w:vAlign w:val="center"/>
          </w:tcPr>
          <w:p>
            <w:pPr>
              <w:spacing w:line="560" w:lineRule="exact"/>
              <w:jc w:val="left"/>
              <w:rPr>
                <w:sz w:val="28"/>
                <w:szCs w:val="28"/>
              </w:rPr>
            </w:pPr>
            <w:r>
              <w:rPr>
                <w:rFonts w:hint="eastAsia"/>
                <w:b/>
                <w:bCs/>
                <w:sz w:val="28"/>
                <w:szCs w:val="28"/>
              </w:rPr>
              <w:t>解释，</w:t>
            </w:r>
            <w:r>
              <w:rPr>
                <w:rFonts w:hint="eastAsia"/>
                <w:sz w:val="28"/>
                <w:szCs w:val="28"/>
              </w:rPr>
              <w:t>第二章第六条已规定：网络预约出租汽车运营数据传输应接入本市人民政府监管平台，本条不再重复。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10</w:t>
            </w:r>
          </w:p>
        </w:tc>
        <w:tc>
          <w:tcPr>
            <w:tcW w:w="1134" w:type="dxa"/>
            <w:vMerge w:val="restart"/>
            <w:vAlign w:val="center"/>
          </w:tcPr>
          <w:p>
            <w:pPr>
              <w:spacing w:line="560" w:lineRule="exact"/>
              <w:jc w:val="center"/>
              <w:rPr>
                <w:rFonts w:ascii="仿宋_GB2312" w:eastAsia="仿宋_GB2312"/>
                <w:sz w:val="28"/>
                <w:szCs w:val="28"/>
              </w:rPr>
            </w:pPr>
            <w:r>
              <w:rPr>
                <w:rFonts w:hint="eastAsia" w:ascii="仿宋_GB2312" w:eastAsia="仿宋_GB2312"/>
                <w:sz w:val="28"/>
                <w:szCs w:val="28"/>
              </w:rPr>
              <w:t>法规科</w:t>
            </w: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关于网约车车辆条件的问题。《细则》第九条第一款第（一）项中关于从事网约车经营的车辆条件限定为新能源汽车，而《海南省清洁能源汽车发展规划》中关于网约车技术路线推广的具体目标为“2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年起，全省新注册车辆1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使用清洁能源汽车”。《海南省清洁能源汽车发展规划》作为全省清洁能源汽车发展的总体规划，相关实施方案或管理办法应当在其基本框架下制定。新能源车辆相比清洁能源车辆存在概念上的限缩，故该项条件的设定与上位法冲突，属于限制上位法规定的权利范围的情形，建议予以调整。</w:t>
            </w:r>
          </w:p>
        </w:tc>
        <w:tc>
          <w:tcPr>
            <w:tcW w:w="3153" w:type="dxa"/>
            <w:vAlign w:val="center"/>
          </w:tcPr>
          <w:p>
            <w:pPr>
              <w:spacing w:line="560" w:lineRule="exact"/>
              <w:jc w:val="left"/>
              <w:rPr>
                <w:sz w:val="28"/>
                <w:szCs w:val="28"/>
              </w:rPr>
            </w:pPr>
            <w:r>
              <w:rPr>
                <w:rFonts w:hint="eastAsia"/>
                <w:b/>
                <w:bCs/>
                <w:sz w:val="28"/>
                <w:szCs w:val="28"/>
              </w:rPr>
              <w:t>解释，</w:t>
            </w:r>
            <w:r>
              <w:rPr>
                <w:rFonts w:hint="eastAsia"/>
                <w:sz w:val="28"/>
                <w:szCs w:val="28"/>
              </w:rPr>
              <w:t>清洁能源汽车包括新能源汽车和清洁替代燃料汽车（主要有天然气汽车），本次修订海口采用新能源汽车，符合发展规划要求，有利于新能源汽车推广应用。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1</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设定吊销许可证件的问题。根据《行政处罚法》第九条第（三）项的规定，吊销许可证件属于行政处罚的类型，结合出发法关于行政处罚设定的有关规定，行政规范性文件不得设定行政处罚。《细则》作为行政规范性文件，在无法律、行政法规及地方性法规等上位法依据的前提下，于第十八条第（七）项中作出关于吊销连续2年被评为B级的网约车平台公司的经营许可证件的规定，属于违反《行政处罚法》关于行政处罚设定的情形，建议予以删除。</w:t>
            </w:r>
          </w:p>
        </w:tc>
        <w:tc>
          <w:tcPr>
            <w:tcW w:w="3153" w:type="dxa"/>
            <w:vAlign w:val="center"/>
          </w:tcPr>
          <w:p>
            <w:pPr>
              <w:spacing w:line="560" w:lineRule="exact"/>
              <w:jc w:val="left"/>
              <w:rPr>
                <w:b/>
                <w:bCs/>
                <w:sz w:val="28"/>
                <w:szCs w:val="28"/>
              </w:rPr>
            </w:pPr>
            <w:r>
              <w:rPr>
                <w:rFonts w:hint="eastAsia"/>
                <w:b/>
                <w:bCs/>
                <w:sz w:val="28"/>
                <w:szCs w:val="28"/>
              </w:rPr>
              <w:t>采纳，</w:t>
            </w:r>
            <w:r>
              <w:rPr>
                <w:rFonts w:hint="eastAsia"/>
                <w:sz w:val="28"/>
                <w:szCs w:val="28"/>
              </w:rPr>
              <w:t>按意见删除吊销连续两次被评为B级的网约车平台公司的经营许可证件的规定。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2</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网约车综合性能检测的职权问题。《细则》第三十三条第二款关于市交通行政主管部门对从事网约车经营的车辆进行综合行政检测的规定，无相关规范性法律文件明确授权，该规定属于法外设定权力的情形，建议结合实际情况进行修改。</w:t>
            </w:r>
          </w:p>
        </w:tc>
        <w:tc>
          <w:tcPr>
            <w:tcW w:w="3153" w:type="dxa"/>
            <w:vAlign w:val="center"/>
          </w:tcPr>
          <w:p>
            <w:pPr>
              <w:spacing w:line="560" w:lineRule="exact"/>
              <w:jc w:val="left"/>
              <w:rPr>
                <w:b/>
                <w:bCs/>
                <w:sz w:val="28"/>
                <w:szCs w:val="28"/>
              </w:rPr>
            </w:pPr>
            <w:r>
              <w:rPr>
                <w:rFonts w:hint="eastAsia"/>
                <w:b/>
                <w:bCs/>
                <w:sz w:val="28"/>
                <w:szCs w:val="28"/>
              </w:rPr>
              <w:t>采纳，</w:t>
            </w:r>
            <w:r>
              <w:rPr>
                <w:rFonts w:hint="eastAsia"/>
                <w:sz w:val="28"/>
                <w:szCs w:val="28"/>
              </w:rPr>
              <w:t>按意见要求，取消市交通行政主管部门对从事网约车经营的车辆进行综合行政检测的规定。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3</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实施行政许可期限的表述问题。根据《行政许可法》第八十二条的规定，行政机关实施行政许可的期限均以工作日计算。《细则》中列举的期限多与行政许可相关，建议同意以“……日”代替“……个工作日”的表述，并可在附则中明确“本《细则》规定的期限以工作日计算，但第……条【如：《细则》（修订）为第八条第一款】规定的期限除外”。</w:t>
            </w:r>
          </w:p>
        </w:tc>
        <w:tc>
          <w:tcPr>
            <w:tcW w:w="3153" w:type="dxa"/>
            <w:vAlign w:val="center"/>
          </w:tcPr>
          <w:p>
            <w:pPr>
              <w:spacing w:line="560" w:lineRule="exact"/>
              <w:jc w:val="left"/>
              <w:rPr>
                <w:b/>
                <w:bCs/>
                <w:sz w:val="28"/>
                <w:szCs w:val="28"/>
              </w:rPr>
            </w:pPr>
            <w:r>
              <w:rPr>
                <w:rFonts w:hint="eastAsia"/>
                <w:b/>
                <w:bCs/>
                <w:sz w:val="28"/>
                <w:szCs w:val="28"/>
              </w:rPr>
              <w:t>采纳，</w:t>
            </w:r>
            <w:r>
              <w:rPr>
                <w:rFonts w:hint="eastAsia"/>
                <w:sz w:val="28"/>
                <w:szCs w:val="28"/>
              </w:rPr>
              <w:t>统一按意见改为“……日”。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4</w:t>
            </w:r>
          </w:p>
        </w:tc>
        <w:tc>
          <w:tcPr>
            <w:tcW w:w="1134" w:type="dxa"/>
            <w:vMerge w:val="continue"/>
            <w:vAlign w:val="center"/>
          </w:tcPr>
          <w:p>
            <w:pPr>
              <w:spacing w:line="560" w:lineRule="exact"/>
              <w:jc w:val="center"/>
              <w:rPr>
                <w:rFonts w:ascii="仿宋_GB2312" w:eastAsia="仿宋_GB2312"/>
                <w:sz w:val="28"/>
                <w:szCs w:val="28"/>
              </w:rPr>
            </w:pPr>
          </w:p>
        </w:tc>
        <w:tc>
          <w:tcPr>
            <w:tcW w:w="11800" w:type="dxa"/>
            <w:gridSpan w:val="2"/>
            <w:vAlign w:val="center"/>
          </w:tcPr>
          <w:p>
            <w:pPr>
              <w:ind w:firstLine="640" w:firstLineChars="200"/>
              <w:rPr>
                <w:b/>
                <w:bCs/>
                <w:sz w:val="28"/>
                <w:szCs w:val="28"/>
              </w:rPr>
            </w:pPr>
            <w:r>
              <w:rPr>
                <w:rFonts w:hint="eastAsia" w:ascii="仿宋_GB2312" w:hAnsi="仿宋_GB2312" w:eastAsia="仿宋_GB2312" w:cs="仿宋_GB2312"/>
                <w:sz w:val="32"/>
                <w:szCs w:val="32"/>
              </w:rPr>
              <w:t>文件内容经系统内部审查，符合法律法规和国家政策、符合社会主义核心价值观，无违反意识形态、国家和公共安全、生态环保等方面的规定，且按照公平竞争要求等进行审查。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ascii="仿宋_GB2312" w:eastAsia="仿宋_GB2312"/>
                <w:sz w:val="28"/>
                <w:szCs w:val="28"/>
              </w:rPr>
              <w:t>15</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市民</w:t>
            </w: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市民刚买了辆二手车，快到4年了，现在正联系审批办办证，如果按新政策实施就办不了运输证，其建议在细则后面写新旧细则过渡期3个月。</w:t>
            </w:r>
          </w:p>
        </w:tc>
        <w:tc>
          <w:tcPr>
            <w:tcW w:w="3153" w:type="dxa"/>
            <w:vAlign w:val="center"/>
          </w:tcPr>
          <w:p>
            <w:pPr>
              <w:spacing w:line="560" w:lineRule="exact"/>
              <w:jc w:val="left"/>
              <w:rPr>
                <w:b/>
                <w:bCs/>
                <w:sz w:val="28"/>
                <w:szCs w:val="28"/>
              </w:rPr>
            </w:pPr>
            <w:r>
              <w:rPr>
                <w:rFonts w:hint="eastAsia"/>
                <w:b/>
                <w:bCs/>
                <w:sz w:val="28"/>
                <w:szCs w:val="28"/>
              </w:rPr>
              <w:t>建议相关部门以办理登记办证时间为界，参照新旧细则酌情处理。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6</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海口市宣传部</w:t>
            </w:r>
          </w:p>
        </w:tc>
        <w:tc>
          <w:tcPr>
            <w:tcW w:w="11800" w:type="dxa"/>
            <w:gridSpan w:val="2"/>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7</w:t>
            </w:r>
          </w:p>
        </w:tc>
        <w:tc>
          <w:tcPr>
            <w:tcW w:w="1134" w:type="dxa"/>
            <w:vMerge w:val="restart"/>
            <w:vAlign w:val="center"/>
          </w:tcPr>
          <w:p>
            <w:pPr>
              <w:spacing w:line="560" w:lineRule="exact"/>
              <w:jc w:val="center"/>
              <w:rPr>
                <w:rFonts w:ascii="仿宋_GB2312" w:eastAsia="仿宋_GB2312"/>
                <w:sz w:val="28"/>
                <w:szCs w:val="28"/>
              </w:rPr>
            </w:pPr>
            <w:r>
              <w:rPr>
                <w:rFonts w:hint="eastAsia" w:ascii="仿宋_GB2312" w:eastAsia="仿宋_GB2312"/>
                <w:sz w:val="28"/>
                <w:szCs w:val="28"/>
              </w:rPr>
              <w:t>滴滴信息服务有限公司</w:t>
            </w:r>
          </w:p>
        </w:tc>
        <w:tc>
          <w:tcPr>
            <w:tcW w:w="8647" w:type="dxa"/>
            <w:vAlign w:val="center"/>
          </w:tcPr>
          <w:p>
            <w:pPr>
              <w:pStyle w:val="13"/>
              <w:numPr>
                <w:ilvl w:val="0"/>
                <w:numId w:val="1"/>
              </w:numPr>
              <w:spacing w:line="560" w:lineRule="exact"/>
              <w:ind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建议删除对网约车运力规模增量控制的规定</w:t>
            </w:r>
          </w:p>
        </w:tc>
        <w:tc>
          <w:tcPr>
            <w:tcW w:w="3153" w:type="dxa"/>
            <w:vAlign w:val="center"/>
          </w:tcPr>
          <w:p>
            <w:pPr>
              <w:spacing w:line="560" w:lineRule="exact"/>
              <w:jc w:val="left"/>
              <w:rPr>
                <w:b/>
                <w:bCs/>
                <w:sz w:val="28"/>
                <w:szCs w:val="28"/>
              </w:rPr>
            </w:pPr>
            <w:r>
              <w:rPr>
                <w:rFonts w:hint="eastAsia"/>
                <w:b/>
                <w:bCs/>
                <w:sz w:val="28"/>
                <w:szCs w:val="28"/>
              </w:rPr>
              <w:t>部分采纳，</w:t>
            </w:r>
            <w:r>
              <w:rPr>
                <w:rFonts w:hint="eastAsia"/>
                <w:sz w:val="28"/>
                <w:szCs w:val="28"/>
              </w:rPr>
              <w:t>按意见要求，网约车运力规模部分实行动态调整机制。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8</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二、建议删除对新能源车的轴距限制</w:t>
            </w:r>
          </w:p>
        </w:tc>
        <w:tc>
          <w:tcPr>
            <w:tcW w:w="3153" w:type="dxa"/>
            <w:vAlign w:val="center"/>
          </w:tcPr>
          <w:p>
            <w:pPr>
              <w:spacing w:line="560" w:lineRule="exact"/>
              <w:jc w:val="left"/>
              <w:rPr>
                <w:b/>
                <w:bCs/>
                <w:sz w:val="28"/>
                <w:szCs w:val="28"/>
              </w:rPr>
            </w:pPr>
            <w:r>
              <w:rPr>
                <w:rFonts w:hint="eastAsia"/>
                <w:b/>
                <w:bCs/>
                <w:sz w:val="28"/>
                <w:szCs w:val="28"/>
              </w:rPr>
              <w:t>解释，</w:t>
            </w:r>
            <w:r>
              <w:rPr>
                <w:rFonts w:hint="eastAsia"/>
                <w:sz w:val="28"/>
                <w:szCs w:val="28"/>
              </w:rPr>
              <w:t>参照北上广深对网约车车轴距要求，结合海口城市高定位要求，采用轴距不小于2</w:t>
            </w:r>
            <w:r>
              <w:rPr>
                <w:sz w:val="28"/>
                <w:szCs w:val="28"/>
              </w:rPr>
              <w:t>650mm</w:t>
            </w:r>
            <w:r>
              <w:rPr>
                <w:rFonts w:hint="eastAsia"/>
                <w:sz w:val="28"/>
                <w:szCs w:val="28"/>
              </w:rPr>
              <w:t>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9</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三、建议取消对车龄的限制</w:t>
            </w:r>
          </w:p>
        </w:tc>
        <w:tc>
          <w:tcPr>
            <w:tcW w:w="3153" w:type="dxa"/>
            <w:vAlign w:val="center"/>
          </w:tcPr>
          <w:p>
            <w:pPr>
              <w:spacing w:line="560" w:lineRule="exact"/>
              <w:jc w:val="left"/>
              <w:rPr>
                <w:rFonts w:ascii="仿宋_GB2312" w:hAnsi="仿宋_GB2312" w:eastAsia="仿宋_GB2312" w:cs="仿宋_GB2312"/>
                <w:sz w:val="32"/>
                <w:szCs w:val="32"/>
              </w:rPr>
            </w:pPr>
            <w:r>
              <w:rPr>
                <w:rFonts w:hint="eastAsia"/>
                <w:b/>
                <w:bCs/>
                <w:sz w:val="28"/>
                <w:szCs w:val="28"/>
              </w:rPr>
              <w:t>解释，</w:t>
            </w:r>
            <w:r>
              <w:rPr>
                <w:rFonts w:hint="eastAsia"/>
                <w:sz w:val="28"/>
                <w:szCs w:val="28"/>
              </w:rPr>
              <w:t>对标北上广深、参照深圳细则，提升网约车准入门槛，设定年限为未满2年。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四、建议取消对驾驶员的户籍和居住证限制</w:t>
            </w:r>
          </w:p>
        </w:tc>
        <w:tc>
          <w:tcPr>
            <w:tcW w:w="3153" w:type="dxa"/>
            <w:vAlign w:val="center"/>
          </w:tcPr>
          <w:p>
            <w:pPr>
              <w:spacing w:line="560" w:lineRule="exact"/>
              <w:jc w:val="left"/>
              <w:rPr>
                <w:sz w:val="28"/>
                <w:szCs w:val="28"/>
              </w:rPr>
            </w:pPr>
            <w:r>
              <w:rPr>
                <w:rFonts w:hint="eastAsia"/>
                <w:b/>
                <w:bCs/>
                <w:sz w:val="28"/>
                <w:szCs w:val="28"/>
              </w:rPr>
              <w:t>解释，</w:t>
            </w:r>
            <w:r>
              <w:rPr>
                <w:rFonts w:hint="eastAsia"/>
                <w:sz w:val="28"/>
                <w:szCs w:val="28"/>
              </w:rPr>
              <w:t>为维护社会治安，保障居民合法权益，延用原细则条款，驾驶员必须拥有本市户籍或本市居住证。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1</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五、建议删除数据实时传输的规定</w:t>
            </w:r>
          </w:p>
        </w:tc>
        <w:tc>
          <w:tcPr>
            <w:tcW w:w="3153" w:type="dxa"/>
            <w:vAlign w:val="center"/>
          </w:tcPr>
          <w:p>
            <w:pPr>
              <w:spacing w:line="560" w:lineRule="exact"/>
              <w:jc w:val="left"/>
              <w:rPr>
                <w:rFonts w:ascii="仿宋_GB2312" w:hAnsi="仿宋_GB2312" w:eastAsia="仿宋_GB2312" w:cs="仿宋_GB2312"/>
                <w:sz w:val="32"/>
                <w:szCs w:val="32"/>
              </w:rPr>
            </w:pPr>
            <w:r>
              <w:rPr>
                <w:rFonts w:hint="eastAsia"/>
                <w:b/>
                <w:bCs/>
                <w:sz w:val="28"/>
                <w:szCs w:val="28"/>
              </w:rPr>
              <w:t>解释</w:t>
            </w:r>
            <w:r>
              <w:rPr>
                <w:rFonts w:hint="eastAsia"/>
                <w:sz w:val="28"/>
                <w:szCs w:val="28"/>
              </w:rPr>
              <w:t>，为保障司乘安全，对网约车行业形成有效监管，根据《网络预约出租汽车监管信息交互平台运行管理办法》、《交通运输部办公厅关于印发&lt;网络预约出租汽车监管信息交互平台总体技术要求（暂行）&gt;的通知》（交办运[2016]180号），网约车运营数据应接入本地人民政府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ascii="仿宋_GB2312" w:eastAsia="仿宋_GB2312"/>
                <w:sz w:val="28"/>
                <w:szCs w:val="28"/>
              </w:rPr>
              <w:t>22</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六、建议完善网约车运价公开方式的相关规定</w:t>
            </w:r>
          </w:p>
        </w:tc>
        <w:tc>
          <w:tcPr>
            <w:tcW w:w="3153" w:type="dxa"/>
            <w:vAlign w:val="center"/>
          </w:tcPr>
          <w:p>
            <w:pPr>
              <w:spacing w:line="560" w:lineRule="exact"/>
              <w:jc w:val="left"/>
              <w:rPr>
                <w:b/>
                <w:bCs/>
                <w:sz w:val="28"/>
                <w:szCs w:val="28"/>
              </w:rPr>
            </w:pPr>
            <w:r>
              <w:rPr>
                <w:rFonts w:hint="eastAsia"/>
                <w:b/>
                <w:bCs/>
                <w:sz w:val="28"/>
                <w:szCs w:val="28"/>
              </w:rPr>
              <w:t>解释，</w:t>
            </w:r>
            <w:r>
              <w:rPr>
                <w:rFonts w:hint="eastAsia"/>
                <w:sz w:val="28"/>
                <w:szCs w:val="28"/>
              </w:rPr>
              <w:t>为保障乘客权益，建议在官网和客户端同时公示。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3</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七、建议取消载客时不能发布和承接预约业务的规定</w:t>
            </w:r>
          </w:p>
        </w:tc>
        <w:tc>
          <w:tcPr>
            <w:tcW w:w="3153" w:type="dxa"/>
            <w:vAlign w:val="center"/>
          </w:tcPr>
          <w:p>
            <w:pPr>
              <w:spacing w:line="560" w:lineRule="exact"/>
              <w:jc w:val="left"/>
              <w:rPr>
                <w:sz w:val="28"/>
                <w:szCs w:val="28"/>
              </w:rPr>
            </w:pPr>
            <w:r>
              <w:rPr>
                <w:rFonts w:hint="eastAsia"/>
                <w:b/>
                <w:bCs/>
                <w:sz w:val="28"/>
                <w:szCs w:val="28"/>
              </w:rPr>
              <w:t>解释</w:t>
            </w:r>
            <w:r>
              <w:rPr>
                <w:rFonts w:hint="eastAsia"/>
                <w:sz w:val="28"/>
                <w:szCs w:val="28"/>
              </w:rPr>
              <w:t>，为保障司乘安全，避免纠纷，在车辆处于载客时，不能承担其他预约业务。平台公司可以通过提升自身服务水平解决分配约单。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4</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商务局</w:t>
            </w:r>
          </w:p>
        </w:tc>
        <w:tc>
          <w:tcPr>
            <w:tcW w:w="864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无意见</w:t>
            </w:r>
          </w:p>
        </w:tc>
        <w:tc>
          <w:tcPr>
            <w:tcW w:w="3153"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5</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市场监督管理局</w:t>
            </w: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建议增加：网约车平台公司及网约车驾驶员对车辆安全性能负责，未经许可不得私自改动或假装燃料箱，改动燃料管路和燃料种类等。</w:t>
            </w:r>
          </w:p>
        </w:tc>
        <w:tc>
          <w:tcPr>
            <w:tcW w:w="3153"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解释，</w:t>
            </w:r>
            <w:r>
              <w:rPr>
                <w:rFonts w:hint="eastAsia"/>
                <w:sz w:val="28"/>
                <w:szCs w:val="28"/>
              </w:rPr>
              <w:t>该要求与第九条重复，统一按《暂行办法》要求执行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ascii="仿宋_GB2312" w:eastAsia="仿宋_GB2312"/>
                <w:sz w:val="28"/>
                <w:szCs w:val="28"/>
              </w:rPr>
              <w:t>26</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市政管理局</w:t>
            </w:r>
          </w:p>
        </w:tc>
        <w:tc>
          <w:tcPr>
            <w:tcW w:w="11800" w:type="dxa"/>
            <w:gridSpan w:val="2"/>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7</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司法局</w:t>
            </w:r>
          </w:p>
        </w:tc>
        <w:tc>
          <w:tcPr>
            <w:tcW w:w="11800" w:type="dxa"/>
            <w:gridSpan w:val="2"/>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8</w:t>
            </w:r>
          </w:p>
        </w:tc>
        <w:tc>
          <w:tcPr>
            <w:tcW w:w="1134" w:type="dxa"/>
            <w:vMerge w:val="restart"/>
            <w:vAlign w:val="center"/>
          </w:tcPr>
          <w:p>
            <w:pPr>
              <w:spacing w:line="560" w:lineRule="exact"/>
              <w:jc w:val="center"/>
              <w:rPr>
                <w:rFonts w:ascii="仿宋_GB2312" w:eastAsia="仿宋_GB2312"/>
                <w:sz w:val="28"/>
                <w:szCs w:val="28"/>
              </w:rPr>
            </w:pPr>
            <w:r>
              <w:rPr>
                <w:rFonts w:hint="eastAsia" w:ascii="仿宋_GB2312" w:eastAsia="仿宋_GB2312"/>
                <w:sz w:val="28"/>
                <w:szCs w:val="28"/>
              </w:rPr>
              <w:t>发展和改革委</w:t>
            </w: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1、《关于&lt;海口市网络预约出租汽车经营服务管理实施细则&gt;(意见的函)》第一章第三条“本市坚持优先发展公共交通、适度发展巡游出租车，按照高品质服务、差异化经营原则，有序发展网约车。网约车运价实行市场调节价，必要时根据有关规定实行政府指导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改为：“本市坚持优先发展公共交通、适度发展巡游出租车，按照高品质服务、差异化经营原则，有序发展网约车。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网约车运价实行市场调节价，其价格（收费）由网约车经营者依据经营成本和供求状况（乘客多少）自主定价。必要时根据有关规定实行政府指导价。”</w:t>
            </w:r>
          </w:p>
        </w:tc>
        <w:tc>
          <w:tcPr>
            <w:tcW w:w="3153" w:type="dxa"/>
            <w:vAlign w:val="center"/>
          </w:tcPr>
          <w:p>
            <w:pPr>
              <w:spacing w:line="560" w:lineRule="exact"/>
              <w:jc w:val="left"/>
              <w:rPr>
                <w:b/>
                <w:bCs/>
                <w:sz w:val="28"/>
                <w:szCs w:val="28"/>
              </w:rPr>
            </w:pPr>
            <w:r>
              <w:rPr>
                <w:rFonts w:hint="eastAsia"/>
                <w:b/>
                <w:bCs/>
                <w:sz w:val="28"/>
                <w:szCs w:val="28"/>
              </w:rPr>
              <w:t>解释，</w:t>
            </w:r>
            <w:r>
              <w:rPr>
                <w:rFonts w:hint="eastAsia"/>
                <w:sz w:val="28"/>
                <w:szCs w:val="28"/>
              </w:rPr>
              <w:t>市场调节本身就包含价格（收费）由网约车经营者成本和供求状况（乘客多少）自主定价。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9</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2、《关于&lt;海口市网络预约出租汽车经营服务管理实施细则&gt;(意见的函)》第三章第十八条（十）“合理确定网约车运价水平和结构，并按照明码标价有关规定在网约车平台公司官网和客户端应用程序对收费标准和服务价格进行明示，并向乘客提供相应的本市出租汽车发票。网约车平台公司不得妨碍市场公平竞争，不得利用市场优势地位侵害乘客合法权益和社会公共利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改为：“按照</w:t>
            </w:r>
            <w:bookmarkStart w:id="0" w:name="_GoBack"/>
            <w:bookmarkEnd w:id="0"/>
            <w:r>
              <w:rPr>
                <w:rFonts w:hint="eastAsia" w:ascii="仿宋_GB2312" w:hAnsi="仿宋_GB2312" w:eastAsia="仿宋_GB2312" w:cs="仿宋_GB2312"/>
                <w:sz w:val="32"/>
                <w:szCs w:val="32"/>
                <w:lang w:eastAsia="zh-CN"/>
              </w:rPr>
              <w:t>《中华人民共和国价格法》</w:t>
            </w:r>
            <w:r>
              <w:rPr>
                <w:rFonts w:hint="eastAsia" w:ascii="仿宋_GB2312" w:hAnsi="仿宋_GB2312" w:eastAsia="仿宋_GB2312" w:cs="仿宋_GB2312"/>
                <w:sz w:val="32"/>
                <w:szCs w:val="32"/>
              </w:rPr>
              <w:t>规定，合理制定网约车运价收费标准和服务价格，并按照明码标价有关规定在网约车平台公司官网和客户端应用程序，公开公示网约车运价内容：实时价、起步价、临时价、特定区域计价、里程费（分时段）、时长费（分时段）、远途费等收费标准和服务价格，并向乘客提供相应的本市出租汽车发票。网约车平台公司不得妨碍市场公平竞争，不得利用市场优势地位侵害乘客合法权益和社会公共利益。”</w:t>
            </w:r>
          </w:p>
        </w:tc>
        <w:tc>
          <w:tcPr>
            <w:tcW w:w="3153" w:type="dxa"/>
            <w:vAlign w:val="center"/>
          </w:tcPr>
          <w:p>
            <w:pPr>
              <w:spacing w:line="560" w:lineRule="exact"/>
              <w:jc w:val="left"/>
              <w:rPr>
                <w:rFonts w:ascii="仿宋_GB2312" w:hAnsi="仿宋_GB2312" w:eastAsia="仿宋_GB2312" w:cs="仿宋_GB2312"/>
                <w:sz w:val="32"/>
                <w:szCs w:val="32"/>
              </w:rPr>
            </w:pPr>
            <w:r>
              <w:rPr>
                <w:rFonts w:hint="eastAsia"/>
                <w:b/>
                <w:bCs/>
                <w:sz w:val="28"/>
                <w:szCs w:val="28"/>
              </w:rPr>
              <w:t>解释，</w:t>
            </w:r>
            <w:r>
              <w:rPr>
                <w:rFonts w:hint="eastAsia"/>
                <w:sz w:val="28"/>
                <w:szCs w:val="28"/>
              </w:rPr>
              <w:t>实时价、起步价、临时价、特定区域计价、里程费（分时段）、时长费（分时段）、远途费等有不确定，且都隶属于收费标准和服务价格，不再另作表述。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0</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建议3、《关于&lt;海口市网络预约出租汽车经营服务管理实施细则&gt;(意见的函)》第四章第二十三条第一段“ 市价格行政主管部门负责做好网约车运价的监督检查和管理，对蓄意操纵运价扰乱市场等行为依法查处。”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改为：“ 市价格监督检查部门负责做好网约车运价的监督检查和管理，对蓄意操纵运价扰乱市场等行为依法查处。”</w:t>
            </w:r>
          </w:p>
        </w:tc>
        <w:tc>
          <w:tcPr>
            <w:tcW w:w="3153" w:type="dxa"/>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1</w:t>
            </w:r>
          </w:p>
        </w:tc>
        <w:tc>
          <w:tcPr>
            <w:tcW w:w="1134" w:type="dxa"/>
            <w:vMerge w:val="restart"/>
            <w:vAlign w:val="center"/>
          </w:tcPr>
          <w:p>
            <w:pPr>
              <w:spacing w:line="560" w:lineRule="exact"/>
              <w:rPr>
                <w:rFonts w:ascii="仿宋_GB2312" w:eastAsia="仿宋_GB2312"/>
                <w:sz w:val="28"/>
                <w:szCs w:val="28"/>
              </w:rPr>
            </w:pPr>
            <w:r>
              <w:rPr>
                <w:rFonts w:hint="eastAsia" w:ascii="仿宋_GB2312" w:eastAsia="仿宋_GB2312"/>
                <w:sz w:val="28"/>
                <w:szCs w:val="28"/>
              </w:rPr>
              <w:t>运管处</w:t>
            </w:r>
          </w:p>
        </w:tc>
        <w:tc>
          <w:tcPr>
            <w:tcW w:w="8647" w:type="dxa"/>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第二章第六条建议增加“</w:t>
            </w:r>
            <w:r>
              <w:rPr>
                <w:rFonts w:ascii="仿宋_GB2312" w:hAnsi="仿宋_GB2312" w:eastAsia="仿宋_GB2312" w:cs="仿宋_GB2312"/>
                <w:sz w:val="32"/>
                <w:szCs w:val="32"/>
              </w:rPr>
              <w:t>健全的安全生产管理制度</w:t>
            </w:r>
            <w:r>
              <w:rPr>
                <w:rFonts w:hint="eastAsia" w:ascii="仿宋_GB2312" w:hAnsi="仿宋_GB2312" w:eastAsia="仿宋_GB2312" w:cs="仿宋_GB2312"/>
                <w:sz w:val="32"/>
                <w:szCs w:val="32"/>
              </w:rPr>
              <w:t>、安全生产例会制度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应急预案、投诉受理处理制度、</w:t>
            </w:r>
            <w:r>
              <w:rPr>
                <w:rFonts w:hint="eastAsia" w:ascii="仿宋_GB2312" w:hAnsi="仿宋_GB2312" w:eastAsia="仿宋_GB2312" w:cs="仿宋_GB2312"/>
                <w:sz w:val="32"/>
                <w:szCs w:val="32"/>
              </w:rPr>
              <w:t>驾驶员</w:t>
            </w:r>
            <w:r>
              <w:rPr>
                <w:rFonts w:ascii="仿宋_GB2312" w:hAnsi="仿宋_GB2312" w:eastAsia="仿宋_GB2312" w:cs="仿宋_GB2312"/>
                <w:sz w:val="32"/>
                <w:szCs w:val="32"/>
              </w:rPr>
              <w:t>涉毒筛查制度，消防安全制度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车辆消防安全</w:t>
            </w:r>
            <w:r>
              <w:rPr>
                <w:rFonts w:hint="eastAsia" w:ascii="仿宋_GB2312" w:hAnsi="仿宋_GB2312" w:eastAsia="仿宋_GB2312" w:cs="仿宋_GB2312"/>
                <w:sz w:val="32"/>
                <w:szCs w:val="32"/>
              </w:rPr>
              <w:t>设施</w:t>
            </w:r>
            <w:r>
              <w:rPr>
                <w:rFonts w:ascii="仿宋_GB2312" w:hAnsi="仿宋_GB2312" w:eastAsia="仿宋_GB2312" w:cs="仿宋_GB2312"/>
                <w:sz w:val="32"/>
                <w:szCs w:val="32"/>
              </w:rPr>
              <w:t>配备</w:t>
            </w:r>
            <w:r>
              <w:rPr>
                <w:rFonts w:hint="eastAsia" w:ascii="仿宋_GB2312" w:hAnsi="仿宋_GB2312" w:eastAsia="仿宋_GB2312" w:cs="仿宋_GB2312"/>
                <w:sz w:val="32"/>
                <w:szCs w:val="32"/>
              </w:rPr>
              <w:t>等内容。”</w:t>
            </w:r>
          </w:p>
        </w:tc>
        <w:tc>
          <w:tcPr>
            <w:tcW w:w="3153" w:type="dxa"/>
            <w:vAlign w:val="center"/>
          </w:tcPr>
          <w:p>
            <w:pPr>
              <w:spacing w:line="560" w:lineRule="exact"/>
              <w:jc w:val="left"/>
              <w:rPr>
                <w:sz w:val="28"/>
                <w:szCs w:val="28"/>
              </w:rPr>
            </w:pPr>
            <w:r>
              <w:rPr>
                <w:rFonts w:hint="eastAsia" w:ascii="仿宋_GB2312" w:hAnsi="仿宋_GB2312" w:eastAsia="仿宋_GB2312" w:cs="仿宋_GB2312"/>
                <w:b/>
                <w:bCs/>
                <w:sz w:val="32"/>
                <w:szCs w:val="32"/>
              </w:rPr>
              <w:t>解释，</w:t>
            </w:r>
            <w:r>
              <w:rPr>
                <w:rFonts w:hint="eastAsia"/>
                <w:sz w:val="28"/>
                <w:szCs w:val="28"/>
              </w:rPr>
              <w:t>与第六条（四）重复。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2</w:t>
            </w:r>
          </w:p>
        </w:tc>
        <w:tc>
          <w:tcPr>
            <w:tcW w:w="1134" w:type="dxa"/>
            <w:vMerge w:val="continue"/>
            <w:vAlign w:val="center"/>
          </w:tcPr>
          <w:p>
            <w:pPr>
              <w:spacing w:line="560" w:lineRule="exact"/>
              <w:jc w:val="center"/>
              <w:rPr>
                <w:rFonts w:ascii="仿宋_GB2312" w:eastAsia="仿宋_GB2312"/>
                <w:sz w:val="28"/>
                <w:szCs w:val="28"/>
              </w:rPr>
            </w:pPr>
          </w:p>
        </w:tc>
        <w:tc>
          <w:tcPr>
            <w:tcW w:w="8647" w:type="dxa"/>
            <w:vAlign w:val="center"/>
          </w:tcPr>
          <w:p>
            <w:pPr>
              <w:ind w:firstLine="640" w:firstLineChars="200"/>
              <w:rPr>
                <w:rFonts w:eastAsia="仿宋_GB2312"/>
                <w:color w:val="FF0000"/>
                <w:sz w:val="32"/>
                <w:szCs w:val="32"/>
              </w:rPr>
            </w:pPr>
            <w:r>
              <w:rPr>
                <w:rFonts w:hint="eastAsia" w:ascii="仿宋_GB2312" w:hAnsi="仿宋_GB2312" w:eastAsia="仿宋_GB2312" w:cs="仿宋_GB2312"/>
                <w:sz w:val="32"/>
                <w:szCs w:val="32"/>
              </w:rPr>
              <w:t>第二章第八条建议：根据实际管理工作需求，建议要求各平台正式运营后应立即向信息中心传送数据。增加“</w:t>
            </w:r>
            <w:r>
              <w:rPr>
                <w:rFonts w:ascii="仿宋_GB2312" w:hAnsi="仿宋_GB2312" w:eastAsia="仿宋_GB2312" w:cs="仿宋_GB2312"/>
                <w:sz w:val="32"/>
                <w:szCs w:val="32"/>
              </w:rPr>
              <w:t>网约车平台公司应在开展运营服务10日内，向市交通行政主管部门网约车</w:t>
            </w:r>
            <w:r>
              <w:rPr>
                <w:rFonts w:hint="eastAsia" w:ascii="仿宋_GB2312" w:hAnsi="仿宋_GB2312" w:eastAsia="仿宋_GB2312" w:cs="仿宋_GB2312"/>
                <w:sz w:val="32"/>
                <w:szCs w:val="32"/>
              </w:rPr>
              <w:t>信息监管</w:t>
            </w:r>
            <w:r>
              <w:rPr>
                <w:rFonts w:ascii="仿宋_GB2312" w:hAnsi="仿宋_GB2312" w:eastAsia="仿宋_GB2312" w:cs="仿宋_GB2312"/>
                <w:sz w:val="32"/>
                <w:szCs w:val="32"/>
              </w:rPr>
              <w:t>平台传输数据。</w:t>
            </w:r>
            <w:r>
              <w:rPr>
                <w:rFonts w:hint="eastAsia" w:ascii="仿宋_GB2312" w:hAnsi="仿宋_GB2312" w:eastAsia="仿宋_GB2312" w:cs="仿宋_GB2312"/>
                <w:sz w:val="32"/>
                <w:szCs w:val="32"/>
              </w:rPr>
              <w:t>”</w:t>
            </w:r>
          </w:p>
        </w:tc>
        <w:tc>
          <w:tcPr>
            <w:tcW w:w="3153" w:type="dxa"/>
            <w:vAlign w:val="center"/>
          </w:tcPr>
          <w:p>
            <w:pPr>
              <w:spacing w:line="560" w:lineRule="exact"/>
              <w:jc w:val="left"/>
              <w:rPr>
                <w:sz w:val="28"/>
                <w:szCs w:val="28"/>
              </w:rPr>
            </w:pPr>
            <w:r>
              <w:rPr>
                <w:rFonts w:hint="eastAsia" w:ascii="仿宋_GB2312" w:hAnsi="仿宋_GB2312" w:eastAsia="仿宋_GB2312" w:cs="仿宋_GB2312"/>
                <w:b/>
                <w:bCs/>
                <w:sz w:val="32"/>
                <w:szCs w:val="32"/>
              </w:rPr>
              <w:t>解释，</w:t>
            </w:r>
            <w:r>
              <w:rPr>
                <w:rFonts w:hint="eastAsia"/>
                <w:sz w:val="28"/>
                <w:szCs w:val="28"/>
              </w:rPr>
              <w:t>与第三章十八条（八）重复。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3</w:t>
            </w:r>
          </w:p>
        </w:tc>
        <w:tc>
          <w:tcPr>
            <w:tcW w:w="113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科工信局</w:t>
            </w:r>
          </w:p>
        </w:tc>
        <w:tc>
          <w:tcPr>
            <w:tcW w:w="11800" w:type="dxa"/>
            <w:gridSpan w:val="2"/>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4</w:t>
            </w:r>
          </w:p>
        </w:tc>
        <w:tc>
          <w:tcPr>
            <w:tcW w:w="1134" w:type="dxa"/>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公安局</w:t>
            </w:r>
          </w:p>
        </w:tc>
        <w:tc>
          <w:tcPr>
            <w:tcW w:w="11800" w:type="dxa"/>
            <w:gridSpan w:val="2"/>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电话沟通无意见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7" w:type="dxa"/>
            <w:vAlign w:val="center"/>
          </w:tcPr>
          <w:p>
            <w:pPr>
              <w:spacing w:line="5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35</w:t>
            </w:r>
          </w:p>
        </w:tc>
        <w:tc>
          <w:tcPr>
            <w:tcW w:w="1134" w:type="dxa"/>
            <w:vAlign w:val="center"/>
          </w:tcPr>
          <w:p>
            <w:pPr>
              <w:spacing w:line="5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其他网约车平台公司</w:t>
            </w:r>
          </w:p>
        </w:tc>
        <w:tc>
          <w:tcPr>
            <w:tcW w:w="11800" w:type="dxa"/>
            <w:gridSpan w:val="2"/>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无意见</w:t>
            </w:r>
          </w:p>
        </w:tc>
      </w:tr>
    </w:tbl>
    <w:p>
      <w:pPr>
        <w:spacing w:line="560" w:lineRule="exact"/>
      </w:pPr>
    </w:p>
    <w:p>
      <w:pPr>
        <w:spacing w:line="560" w:lineRule="exact"/>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DA4DAA"/>
    <w:multiLevelType w:val="multilevel"/>
    <w:tmpl w:val="34DA4DA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85"/>
    <w:rsid w:val="000120F7"/>
    <w:rsid w:val="00026029"/>
    <w:rsid w:val="00036C41"/>
    <w:rsid w:val="000660BD"/>
    <w:rsid w:val="000708A8"/>
    <w:rsid w:val="000A4B03"/>
    <w:rsid w:val="000D1992"/>
    <w:rsid w:val="00187D67"/>
    <w:rsid w:val="001A16F6"/>
    <w:rsid w:val="001C60FC"/>
    <w:rsid w:val="001E1F20"/>
    <w:rsid w:val="001F09CB"/>
    <w:rsid w:val="002015B5"/>
    <w:rsid w:val="002219D6"/>
    <w:rsid w:val="0023158F"/>
    <w:rsid w:val="00242B60"/>
    <w:rsid w:val="00273AAF"/>
    <w:rsid w:val="002921E2"/>
    <w:rsid w:val="00296F2B"/>
    <w:rsid w:val="002D2141"/>
    <w:rsid w:val="003041D9"/>
    <w:rsid w:val="0032176D"/>
    <w:rsid w:val="003266DF"/>
    <w:rsid w:val="003355A6"/>
    <w:rsid w:val="00345CC4"/>
    <w:rsid w:val="003464CB"/>
    <w:rsid w:val="00351308"/>
    <w:rsid w:val="003B35FD"/>
    <w:rsid w:val="003D3E68"/>
    <w:rsid w:val="003E01EC"/>
    <w:rsid w:val="00410A05"/>
    <w:rsid w:val="004212CC"/>
    <w:rsid w:val="004224E0"/>
    <w:rsid w:val="0046391E"/>
    <w:rsid w:val="0047096D"/>
    <w:rsid w:val="0048062D"/>
    <w:rsid w:val="0048603C"/>
    <w:rsid w:val="004B3FBD"/>
    <w:rsid w:val="004C6627"/>
    <w:rsid w:val="004D60C5"/>
    <w:rsid w:val="004F68B3"/>
    <w:rsid w:val="005247D7"/>
    <w:rsid w:val="00551582"/>
    <w:rsid w:val="005532C2"/>
    <w:rsid w:val="005853B1"/>
    <w:rsid w:val="005856ED"/>
    <w:rsid w:val="0059462B"/>
    <w:rsid w:val="00615FA0"/>
    <w:rsid w:val="0061723D"/>
    <w:rsid w:val="00621CCD"/>
    <w:rsid w:val="00625C5A"/>
    <w:rsid w:val="006261FF"/>
    <w:rsid w:val="006343C5"/>
    <w:rsid w:val="0064631C"/>
    <w:rsid w:val="00672524"/>
    <w:rsid w:val="006730C3"/>
    <w:rsid w:val="0068065D"/>
    <w:rsid w:val="00686A72"/>
    <w:rsid w:val="00690ACD"/>
    <w:rsid w:val="006C41CF"/>
    <w:rsid w:val="006E1F26"/>
    <w:rsid w:val="006F00A1"/>
    <w:rsid w:val="00714D63"/>
    <w:rsid w:val="007400AD"/>
    <w:rsid w:val="007449BF"/>
    <w:rsid w:val="00772A4A"/>
    <w:rsid w:val="00786BC9"/>
    <w:rsid w:val="007A2C6C"/>
    <w:rsid w:val="007C1A2F"/>
    <w:rsid w:val="007E274D"/>
    <w:rsid w:val="008015C8"/>
    <w:rsid w:val="00802380"/>
    <w:rsid w:val="00811C44"/>
    <w:rsid w:val="008578E3"/>
    <w:rsid w:val="00886146"/>
    <w:rsid w:val="008F1012"/>
    <w:rsid w:val="00914ACE"/>
    <w:rsid w:val="00916843"/>
    <w:rsid w:val="0092010B"/>
    <w:rsid w:val="00923485"/>
    <w:rsid w:val="00927E95"/>
    <w:rsid w:val="00931AF5"/>
    <w:rsid w:val="00934134"/>
    <w:rsid w:val="0096369E"/>
    <w:rsid w:val="009A625C"/>
    <w:rsid w:val="009C2C85"/>
    <w:rsid w:val="009C3ECF"/>
    <w:rsid w:val="009D05F7"/>
    <w:rsid w:val="00A0011A"/>
    <w:rsid w:val="00A278DA"/>
    <w:rsid w:val="00A31CE7"/>
    <w:rsid w:val="00A45413"/>
    <w:rsid w:val="00A47CA6"/>
    <w:rsid w:val="00A60E72"/>
    <w:rsid w:val="00A625B9"/>
    <w:rsid w:val="00A828C8"/>
    <w:rsid w:val="00AC34D2"/>
    <w:rsid w:val="00AF224C"/>
    <w:rsid w:val="00B25094"/>
    <w:rsid w:val="00B2544E"/>
    <w:rsid w:val="00B41655"/>
    <w:rsid w:val="00B4765A"/>
    <w:rsid w:val="00B74460"/>
    <w:rsid w:val="00BA43EC"/>
    <w:rsid w:val="00BC3607"/>
    <w:rsid w:val="00BC67F3"/>
    <w:rsid w:val="00BD7694"/>
    <w:rsid w:val="00BE58F6"/>
    <w:rsid w:val="00BF371A"/>
    <w:rsid w:val="00BF516A"/>
    <w:rsid w:val="00C2340D"/>
    <w:rsid w:val="00C30A1C"/>
    <w:rsid w:val="00C51445"/>
    <w:rsid w:val="00C72FAC"/>
    <w:rsid w:val="00C826AF"/>
    <w:rsid w:val="00CA5289"/>
    <w:rsid w:val="00CA78D3"/>
    <w:rsid w:val="00CC49C3"/>
    <w:rsid w:val="00CD4B62"/>
    <w:rsid w:val="00CE646F"/>
    <w:rsid w:val="00CF4158"/>
    <w:rsid w:val="00D17BA1"/>
    <w:rsid w:val="00D56704"/>
    <w:rsid w:val="00D624E0"/>
    <w:rsid w:val="00DB0C68"/>
    <w:rsid w:val="00DD3BE2"/>
    <w:rsid w:val="00DE5D89"/>
    <w:rsid w:val="00DF3C47"/>
    <w:rsid w:val="00E06101"/>
    <w:rsid w:val="00E06497"/>
    <w:rsid w:val="00E255A3"/>
    <w:rsid w:val="00E43552"/>
    <w:rsid w:val="00E90000"/>
    <w:rsid w:val="00EA5680"/>
    <w:rsid w:val="00EB5894"/>
    <w:rsid w:val="00EC391D"/>
    <w:rsid w:val="00ED171C"/>
    <w:rsid w:val="00ED1FFC"/>
    <w:rsid w:val="00EE1786"/>
    <w:rsid w:val="00EE245F"/>
    <w:rsid w:val="00EE7DED"/>
    <w:rsid w:val="00F07921"/>
    <w:rsid w:val="00F112BF"/>
    <w:rsid w:val="00F1507E"/>
    <w:rsid w:val="00F416FE"/>
    <w:rsid w:val="00F478AB"/>
    <w:rsid w:val="00F60ECE"/>
    <w:rsid w:val="00FA2213"/>
    <w:rsid w:val="00FA6F3E"/>
    <w:rsid w:val="00FD2772"/>
    <w:rsid w:val="00FE342D"/>
    <w:rsid w:val="00FE399C"/>
    <w:rsid w:val="00FF09CD"/>
    <w:rsid w:val="018D5A1B"/>
    <w:rsid w:val="01F23188"/>
    <w:rsid w:val="077C06F8"/>
    <w:rsid w:val="0DBD5512"/>
    <w:rsid w:val="12D93A68"/>
    <w:rsid w:val="17FA0E91"/>
    <w:rsid w:val="1E463ECC"/>
    <w:rsid w:val="20646950"/>
    <w:rsid w:val="28ED4BAF"/>
    <w:rsid w:val="29763BBA"/>
    <w:rsid w:val="2C8B3284"/>
    <w:rsid w:val="2FBD6B05"/>
    <w:rsid w:val="31CB28D6"/>
    <w:rsid w:val="33E75C08"/>
    <w:rsid w:val="344D72C1"/>
    <w:rsid w:val="369C6DDC"/>
    <w:rsid w:val="3AD930D9"/>
    <w:rsid w:val="3B9747A9"/>
    <w:rsid w:val="42AA0F51"/>
    <w:rsid w:val="449B1932"/>
    <w:rsid w:val="4559560A"/>
    <w:rsid w:val="4BD71F6E"/>
    <w:rsid w:val="4DB46515"/>
    <w:rsid w:val="525B015B"/>
    <w:rsid w:val="5BBB50C7"/>
    <w:rsid w:val="5DDC6135"/>
    <w:rsid w:val="5EEC148C"/>
    <w:rsid w:val="603F7717"/>
    <w:rsid w:val="60787C59"/>
    <w:rsid w:val="60AC5448"/>
    <w:rsid w:val="620C1362"/>
    <w:rsid w:val="63833D05"/>
    <w:rsid w:val="6726464B"/>
    <w:rsid w:val="6C680963"/>
    <w:rsid w:val="6F674FA6"/>
    <w:rsid w:val="70927F29"/>
    <w:rsid w:val="75927D29"/>
    <w:rsid w:val="786440D1"/>
    <w:rsid w:val="79B47654"/>
    <w:rsid w:val="7FDD3AF3"/>
    <w:rsid w:val="FFFB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rFonts w:ascii="仿宋_GB2312" w:eastAsia="仿宋_GB2312"/>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page number"/>
    <w:qFormat/>
    <w:uiPriority w:val="0"/>
    <w:rPr>
      <w:rFonts w:ascii="仿宋_GB2312" w:eastAsia="仿宋_GB2312"/>
      <w:sz w:val="32"/>
      <w:szCs w:val="32"/>
    </w:rPr>
  </w:style>
  <w:style w:type="paragraph" w:customStyle="1" w:styleId="10">
    <w:name w:val="Char Char Char Char"/>
    <w:basedOn w:val="1"/>
    <w:qFormat/>
    <w:uiPriority w:val="0"/>
    <w:rPr>
      <w:rFonts w:ascii="仿宋_GB2312" w:eastAsia="仿宋_GB2312"/>
      <w:sz w:val="32"/>
      <w:szCs w:val="32"/>
    </w:rPr>
  </w:style>
  <w:style w:type="character" w:customStyle="1" w:styleId="11">
    <w:name w:val="批注框文本 字符"/>
    <w:link w:val="2"/>
    <w:qFormat/>
    <w:uiPriority w:val="0"/>
    <w:rPr>
      <w:rFonts w:ascii="仿宋_GB2312" w:eastAsia="仿宋_GB2312"/>
      <w:kern w:val="2"/>
      <w:sz w:val="18"/>
      <w:szCs w:val="18"/>
    </w:rPr>
  </w:style>
  <w:style w:type="character" w:customStyle="1" w:styleId="12">
    <w:name w:val="页眉 字符"/>
    <w:basedOn w:val="7"/>
    <w:link w:val="4"/>
    <w:qFormat/>
    <w:uiPriority w:val="0"/>
    <w:rPr>
      <w:rFonts w:cs="Times New Roman"/>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635</Words>
  <Characters>3623</Characters>
  <Lines>30</Lines>
  <Paragraphs>8</Paragraphs>
  <TotalTime>258</TotalTime>
  <ScaleCrop>false</ScaleCrop>
  <LinksUpToDate>false</LinksUpToDate>
  <CharactersWithSpaces>4250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2016-12-16T01:19:00Z</dcterms:created>
  <dc:creator>Administrator</dc:creator>
  <cp:lastModifiedBy>lenovo</cp:lastModifiedBy>
  <cp:lastPrinted>2021-06-26T00:10:00Z</cp:lastPrinted>
  <dcterms:modified xsi:type="dcterms:W3CDTF">2023-07-13T10:01:49Z</dcterms:modified>
  <dc:title>市政府常务会议审议文件附件x</dc:title>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8676DC731EBD4398912926985D2105C6</vt:lpwstr>
  </property>
</Properties>
</file>